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AA3" w:rsidRDefault="00BF2AA3">
      <w:pPr>
        <w:spacing w:line="1" w:lineRule="exact"/>
        <w:rPr>
          <w:sz w:val="2"/>
          <w:szCs w:val="2"/>
        </w:rPr>
      </w:pPr>
    </w:p>
    <w:p w:rsidR="00BF2AA3" w:rsidRDefault="00BF2AA3">
      <w:pPr>
        <w:framePr w:h="817" w:hSpace="10080" w:wrap="notBeside" w:vAnchor="text" w:hAnchor="margin" w:x="1092" w:y="-877"/>
        <w:rPr>
          <w:sz w:val="24"/>
          <w:szCs w:val="24"/>
        </w:rPr>
      </w:pPr>
    </w:p>
    <w:tbl>
      <w:tblPr>
        <w:tblW w:w="11875" w:type="dxa"/>
        <w:tblInd w:w="-612" w:type="dxa"/>
        <w:tblLook w:val="01E0" w:firstRow="1" w:lastRow="1" w:firstColumn="1" w:lastColumn="1" w:noHBand="0" w:noVBand="0"/>
      </w:tblPr>
      <w:tblGrid>
        <w:gridCol w:w="1980"/>
        <w:gridCol w:w="6315"/>
        <w:gridCol w:w="3580"/>
      </w:tblGrid>
      <w:tr w:rsidR="007A7F86" w:rsidTr="007C29FA">
        <w:trPr>
          <w:trHeight w:val="798"/>
        </w:trPr>
        <w:tc>
          <w:tcPr>
            <w:tcW w:w="1980" w:type="dxa"/>
            <w:vMerge w:val="restart"/>
          </w:tcPr>
          <w:p w:rsidR="007A7F86" w:rsidRDefault="007A7F86" w:rsidP="007C29FA"/>
          <w:p w:rsidR="007A7F86" w:rsidRDefault="007A7F86" w:rsidP="007C29FA"/>
          <w:p w:rsidR="007A7F86" w:rsidRPr="00BF2021" w:rsidRDefault="007A7F86" w:rsidP="007C29FA">
            <w:pPr>
              <w:jc w:val="right"/>
            </w:pPr>
            <w:r>
              <w:rPr>
                <w:noProof/>
              </w:rPr>
              <w:drawing>
                <wp:inline distT="0" distB="0" distL="0" distR="0">
                  <wp:extent cx="1009650" cy="1141095"/>
                  <wp:effectExtent l="19050" t="0" r="0" b="0"/>
                  <wp:docPr id="8" name="Immagine 1" descr="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une"/>
                          <pic:cNvPicPr>
                            <a:picLocks noChangeAspect="1" noChangeArrowheads="1"/>
                          </pic:cNvPicPr>
                        </pic:nvPicPr>
                        <pic:blipFill>
                          <a:blip r:embed="rId6"/>
                          <a:srcRect/>
                          <a:stretch>
                            <a:fillRect/>
                          </a:stretch>
                        </pic:blipFill>
                        <pic:spPr bwMode="auto">
                          <a:xfrm>
                            <a:off x="0" y="0"/>
                            <a:ext cx="1009650" cy="1141095"/>
                          </a:xfrm>
                          <a:prstGeom prst="rect">
                            <a:avLst/>
                          </a:prstGeom>
                          <a:noFill/>
                          <a:ln w="9525">
                            <a:noFill/>
                            <a:miter lim="800000"/>
                            <a:headEnd/>
                            <a:tailEnd/>
                          </a:ln>
                        </pic:spPr>
                      </pic:pic>
                    </a:graphicData>
                  </a:graphic>
                </wp:inline>
              </w:drawing>
            </w:r>
          </w:p>
          <w:p w:rsidR="007A7F86" w:rsidRPr="0038749C" w:rsidRDefault="007A7F86" w:rsidP="00284ADA">
            <w:pPr>
              <w:jc w:val="center"/>
              <w:rPr>
                <w:i/>
              </w:rPr>
            </w:pPr>
          </w:p>
        </w:tc>
        <w:tc>
          <w:tcPr>
            <w:tcW w:w="6315" w:type="dxa"/>
          </w:tcPr>
          <w:p w:rsidR="007A7F86" w:rsidRPr="004C4467" w:rsidRDefault="007A7F86" w:rsidP="007C29FA">
            <w:pPr>
              <w:jc w:val="center"/>
              <w:rPr>
                <w:rFonts w:ascii="Monotype Corsiva" w:hAnsi="Monotype Corsiva"/>
                <w:b/>
                <w:i/>
                <w:sz w:val="32"/>
                <w:szCs w:val="32"/>
              </w:rPr>
            </w:pPr>
            <w:r w:rsidRPr="004C4467">
              <w:rPr>
                <w:rFonts w:ascii="Monotype Corsiva" w:hAnsi="Monotype Corsiva"/>
                <w:b/>
                <w:i/>
                <w:sz w:val="32"/>
                <w:szCs w:val="32"/>
              </w:rPr>
              <w:t>COMUNE DI SANTO STEFANO DI SESSANIO</w:t>
            </w:r>
          </w:p>
          <w:p w:rsidR="007A7F86" w:rsidRPr="004C4467" w:rsidRDefault="007A7F86" w:rsidP="007C29FA">
            <w:pPr>
              <w:jc w:val="center"/>
              <w:rPr>
                <w:rFonts w:ascii="Monotype Corsiva" w:hAnsi="Monotype Corsiva"/>
                <w:sz w:val="36"/>
                <w:szCs w:val="36"/>
              </w:rPr>
            </w:pPr>
            <w:r w:rsidRPr="004C4467">
              <w:rPr>
                <w:rFonts w:ascii="Monotype Corsiva" w:hAnsi="Monotype Corsiva"/>
                <w:b/>
                <w:i/>
                <w:sz w:val="32"/>
                <w:szCs w:val="32"/>
              </w:rPr>
              <w:t>PROVINCIA DI L’AQUILA</w:t>
            </w:r>
          </w:p>
        </w:tc>
        <w:tc>
          <w:tcPr>
            <w:tcW w:w="3580" w:type="dxa"/>
            <w:vMerge w:val="restart"/>
          </w:tcPr>
          <w:p w:rsidR="007A7F86" w:rsidRDefault="007A7F86" w:rsidP="007C29FA"/>
          <w:p w:rsidR="007A7F86" w:rsidRDefault="007A7F86" w:rsidP="007C29FA"/>
          <w:p w:rsidR="007A7F86" w:rsidRDefault="007A7F86" w:rsidP="007C29FA">
            <w:r>
              <w:rPr>
                <w:noProof/>
              </w:rPr>
              <w:drawing>
                <wp:inline distT="0" distB="0" distL="0" distR="0">
                  <wp:extent cx="1623695" cy="987425"/>
                  <wp:effectExtent l="19050" t="0" r="0" b="0"/>
                  <wp:docPr id="7" name="Immagine 2" descr="logo borg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borghi"/>
                          <pic:cNvPicPr>
                            <a:picLocks noChangeAspect="1" noChangeArrowheads="1"/>
                          </pic:cNvPicPr>
                        </pic:nvPicPr>
                        <pic:blipFill>
                          <a:blip r:embed="rId7"/>
                          <a:srcRect/>
                          <a:stretch>
                            <a:fillRect/>
                          </a:stretch>
                        </pic:blipFill>
                        <pic:spPr bwMode="auto">
                          <a:xfrm>
                            <a:off x="0" y="0"/>
                            <a:ext cx="1623695" cy="987425"/>
                          </a:xfrm>
                          <a:prstGeom prst="rect">
                            <a:avLst/>
                          </a:prstGeom>
                          <a:noFill/>
                          <a:ln w="9525">
                            <a:noFill/>
                            <a:miter lim="800000"/>
                            <a:headEnd/>
                            <a:tailEnd/>
                          </a:ln>
                        </pic:spPr>
                      </pic:pic>
                    </a:graphicData>
                  </a:graphic>
                </wp:inline>
              </w:drawing>
            </w:r>
          </w:p>
        </w:tc>
      </w:tr>
      <w:tr w:rsidR="007A7F86" w:rsidTr="007C29FA">
        <w:trPr>
          <w:trHeight w:val="671"/>
        </w:trPr>
        <w:tc>
          <w:tcPr>
            <w:tcW w:w="1980" w:type="dxa"/>
            <w:vMerge/>
          </w:tcPr>
          <w:p w:rsidR="007A7F86" w:rsidRDefault="007A7F86" w:rsidP="007C29FA"/>
        </w:tc>
        <w:tc>
          <w:tcPr>
            <w:tcW w:w="6315" w:type="dxa"/>
          </w:tcPr>
          <w:p w:rsidR="007A7F86" w:rsidRPr="004C4467" w:rsidRDefault="007A7F86" w:rsidP="007C29FA">
            <w:pPr>
              <w:jc w:val="center"/>
              <w:rPr>
                <w:rFonts w:ascii="Monotype Corsiva" w:hAnsi="Monotype Corsiva"/>
                <w:b/>
                <w:i/>
              </w:rPr>
            </w:pPr>
            <w:r w:rsidRPr="004C4467">
              <w:rPr>
                <w:rFonts w:ascii="Monotype Corsiva" w:hAnsi="Monotype Corsiva"/>
                <w:b/>
                <w:i/>
              </w:rPr>
              <w:t xml:space="preserve">Via Benedetta snc – 67020 Santo Stefano di Sessanio </w:t>
            </w:r>
          </w:p>
          <w:p w:rsidR="007A7F86" w:rsidRPr="004C4467" w:rsidRDefault="007A7F86" w:rsidP="007C29FA">
            <w:pPr>
              <w:jc w:val="center"/>
              <w:rPr>
                <w:rFonts w:ascii="Monotype Corsiva" w:hAnsi="Monotype Corsiva"/>
                <w:b/>
                <w:i/>
              </w:rPr>
            </w:pPr>
            <w:r w:rsidRPr="004C4467">
              <w:rPr>
                <w:rFonts w:ascii="Monotype Corsiva" w:hAnsi="Monotype Corsiva"/>
                <w:b/>
                <w:i/>
              </w:rPr>
              <w:t>Tel 0862.89203</w:t>
            </w:r>
          </w:p>
          <w:p w:rsidR="007A7F86" w:rsidRPr="004C4467" w:rsidRDefault="007A7F86" w:rsidP="007C29FA">
            <w:pPr>
              <w:jc w:val="center"/>
              <w:rPr>
                <w:b/>
                <w:i/>
              </w:rPr>
            </w:pPr>
            <w:r w:rsidRPr="004C4467">
              <w:rPr>
                <w:rFonts w:ascii="Monotype Corsiva" w:hAnsi="Monotype Corsiva"/>
                <w:b/>
                <w:i/>
              </w:rPr>
              <w:t>Fax 0862.89662</w:t>
            </w:r>
          </w:p>
        </w:tc>
        <w:tc>
          <w:tcPr>
            <w:tcW w:w="3580" w:type="dxa"/>
            <w:vMerge/>
          </w:tcPr>
          <w:p w:rsidR="007A7F86" w:rsidRDefault="007A7F86" w:rsidP="007C29FA"/>
        </w:tc>
      </w:tr>
      <w:tr w:rsidR="007A7F86" w:rsidTr="007C29FA">
        <w:trPr>
          <w:trHeight w:val="565"/>
        </w:trPr>
        <w:tc>
          <w:tcPr>
            <w:tcW w:w="1980" w:type="dxa"/>
            <w:vMerge/>
          </w:tcPr>
          <w:p w:rsidR="007A7F86" w:rsidRDefault="007A7F86" w:rsidP="007C29FA"/>
        </w:tc>
        <w:tc>
          <w:tcPr>
            <w:tcW w:w="6315" w:type="dxa"/>
          </w:tcPr>
          <w:p w:rsidR="007A7F86" w:rsidRPr="004C4467" w:rsidRDefault="007A7F86" w:rsidP="007C29FA">
            <w:pPr>
              <w:jc w:val="center"/>
              <w:rPr>
                <w:b/>
                <w:i/>
              </w:rPr>
            </w:pPr>
            <w:r w:rsidRPr="004C4467">
              <w:rPr>
                <w:rFonts w:ascii="Monotype Corsiva" w:hAnsi="Monotype Corsiva"/>
                <w:b/>
                <w:i/>
              </w:rPr>
              <w:t>sito internet: www.comunesantostefanodisessanio.aq.it</w:t>
            </w:r>
          </w:p>
        </w:tc>
        <w:tc>
          <w:tcPr>
            <w:tcW w:w="3580" w:type="dxa"/>
            <w:vMerge/>
          </w:tcPr>
          <w:p w:rsidR="007A7F86" w:rsidRDefault="007A7F86" w:rsidP="007C29FA"/>
        </w:tc>
      </w:tr>
    </w:tbl>
    <w:p w:rsidR="00BF2AA3" w:rsidRPr="00C12683" w:rsidRDefault="004228CF" w:rsidP="00284ADA">
      <w:pPr>
        <w:shd w:val="clear" w:color="auto" w:fill="FFFFFF"/>
        <w:spacing w:before="234" w:line="346" w:lineRule="exact"/>
        <w:ind w:right="2207"/>
        <w:rPr>
          <w:rFonts w:ascii="Calibri" w:hAnsi="Calibri"/>
          <w:b/>
          <w:bCs/>
          <w:color w:val="000000"/>
          <w:spacing w:val="-12"/>
          <w:sz w:val="32"/>
          <w:szCs w:val="32"/>
        </w:rPr>
      </w:pPr>
      <w:bookmarkStart w:id="0" w:name="_GoBack"/>
      <w:bookmarkEnd w:id="0"/>
      <w:r w:rsidRPr="00C12683">
        <w:rPr>
          <w:rFonts w:ascii="Calibri" w:hAnsi="Calibri"/>
          <w:b/>
          <w:bCs/>
          <w:color w:val="000000"/>
          <w:spacing w:val="-12"/>
          <w:sz w:val="32"/>
          <w:szCs w:val="32"/>
        </w:rPr>
        <w:t xml:space="preserve">AVVISO DI PAGAMENTO </w:t>
      </w:r>
      <w:r w:rsidR="00284ADA">
        <w:rPr>
          <w:rFonts w:ascii="Calibri" w:hAnsi="Calibri"/>
          <w:b/>
          <w:bCs/>
          <w:color w:val="000000"/>
          <w:spacing w:val="-12"/>
          <w:sz w:val="32"/>
          <w:szCs w:val="32"/>
        </w:rPr>
        <w:t>SALDO</w:t>
      </w:r>
      <w:r w:rsidRPr="00C12683">
        <w:rPr>
          <w:rFonts w:ascii="Calibri" w:hAnsi="Calibri"/>
          <w:b/>
          <w:bCs/>
          <w:color w:val="000000"/>
          <w:spacing w:val="-12"/>
          <w:sz w:val="32"/>
          <w:szCs w:val="32"/>
        </w:rPr>
        <w:t xml:space="preserve"> IMU e TASI</w:t>
      </w:r>
      <w:r w:rsidR="007F35BA" w:rsidRPr="00C12683">
        <w:rPr>
          <w:rFonts w:ascii="Calibri" w:hAnsi="Calibri"/>
          <w:b/>
          <w:bCs/>
          <w:color w:val="000000"/>
          <w:spacing w:val="-12"/>
          <w:sz w:val="32"/>
          <w:szCs w:val="32"/>
        </w:rPr>
        <w:t xml:space="preserve"> ANNO 2015</w:t>
      </w:r>
    </w:p>
    <w:p w:rsidR="00C12683" w:rsidRPr="0038749C" w:rsidRDefault="004228CF" w:rsidP="0038749C">
      <w:pPr>
        <w:shd w:val="clear" w:color="auto" w:fill="FFFFFF"/>
        <w:spacing w:before="245" w:line="263" w:lineRule="exact"/>
        <w:ind w:left="7"/>
        <w:jc w:val="both"/>
        <w:rPr>
          <w:rFonts w:ascii="Calibri" w:hAnsi="Calibri"/>
          <w:sz w:val="22"/>
          <w:szCs w:val="22"/>
        </w:rPr>
      </w:pPr>
      <w:r w:rsidRPr="0038749C">
        <w:rPr>
          <w:rFonts w:ascii="Calibri" w:hAnsi="Calibri"/>
          <w:color w:val="000000"/>
          <w:sz w:val="22"/>
          <w:szCs w:val="22"/>
        </w:rPr>
        <w:t xml:space="preserve">Come noto, </w:t>
      </w:r>
      <w:r w:rsidRPr="0038749C">
        <w:rPr>
          <w:rFonts w:ascii="Calibri" w:hAnsi="Calibri"/>
          <w:b/>
          <w:bCs/>
          <w:color w:val="000000"/>
          <w:sz w:val="22"/>
          <w:szCs w:val="22"/>
          <w:u w:val="single"/>
        </w:rPr>
        <w:t xml:space="preserve">entro il prossimo 16 </w:t>
      </w:r>
      <w:r w:rsidR="0063407F">
        <w:rPr>
          <w:rFonts w:ascii="Calibri" w:hAnsi="Calibri"/>
          <w:b/>
          <w:bCs/>
          <w:color w:val="000000"/>
          <w:sz w:val="22"/>
          <w:szCs w:val="22"/>
          <w:u w:val="single"/>
        </w:rPr>
        <w:t xml:space="preserve"> dicembre</w:t>
      </w:r>
      <w:r w:rsidRPr="0038749C">
        <w:rPr>
          <w:rFonts w:ascii="Calibri" w:hAnsi="Calibri"/>
          <w:b/>
          <w:bCs/>
          <w:color w:val="000000"/>
          <w:sz w:val="22"/>
          <w:szCs w:val="22"/>
        </w:rPr>
        <w:t xml:space="preserve"> </w:t>
      </w:r>
      <w:r w:rsidRPr="0038749C">
        <w:rPr>
          <w:rFonts w:ascii="Calibri" w:hAnsi="Calibri"/>
          <w:color w:val="000000"/>
          <w:sz w:val="22"/>
          <w:szCs w:val="22"/>
        </w:rPr>
        <w:t xml:space="preserve">è necessario provvedere al </w:t>
      </w:r>
      <w:r w:rsidRPr="0038749C">
        <w:rPr>
          <w:rFonts w:ascii="Calibri" w:hAnsi="Calibri"/>
          <w:b/>
          <w:bCs/>
          <w:color w:val="000000"/>
          <w:sz w:val="22"/>
          <w:szCs w:val="22"/>
          <w:u w:val="single"/>
        </w:rPr>
        <w:t xml:space="preserve">pagamento </w:t>
      </w:r>
      <w:r w:rsidR="0063407F">
        <w:rPr>
          <w:rFonts w:ascii="Calibri" w:hAnsi="Calibri"/>
          <w:b/>
          <w:bCs/>
          <w:color w:val="000000"/>
          <w:sz w:val="22"/>
          <w:szCs w:val="22"/>
          <w:u w:val="single"/>
        </w:rPr>
        <w:t>dei saldi</w:t>
      </w:r>
      <w:r w:rsidR="0038749C">
        <w:rPr>
          <w:rFonts w:ascii="Calibri" w:hAnsi="Calibri"/>
          <w:sz w:val="22"/>
          <w:szCs w:val="22"/>
        </w:rPr>
        <w:t xml:space="preserve"> </w:t>
      </w:r>
      <w:r w:rsidRPr="0038749C">
        <w:rPr>
          <w:rFonts w:ascii="Calibri" w:hAnsi="Calibri"/>
          <w:b/>
          <w:bCs/>
          <w:color w:val="000000"/>
          <w:spacing w:val="-1"/>
          <w:sz w:val="22"/>
          <w:szCs w:val="22"/>
          <w:u w:val="single"/>
        </w:rPr>
        <w:t>IMU e TASI per la corrente annualità, nella misura del 50% dei tributi dovuti</w:t>
      </w:r>
      <w:r w:rsidR="00F46E1F" w:rsidRPr="0038749C">
        <w:rPr>
          <w:rFonts w:ascii="Calibri" w:hAnsi="Calibri"/>
          <w:b/>
          <w:bCs/>
          <w:color w:val="000000"/>
          <w:spacing w:val="-1"/>
          <w:sz w:val="22"/>
          <w:szCs w:val="22"/>
          <w:u w:val="single"/>
        </w:rPr>
        <w:t xml:space="preserve"> per l’</w:t>
      </w:r>
      <w:r w:rsidRPr="0038749C">
        <w:rPr>
          <w:rFonts w:ascii="Calibri" w:hAnsi="Calibri"/>
          <w:b/>
          <w:bCs/>
          <w:color w:val="000000"/>
          <w:spacing w:val="-1"/>
          <w:sz w:val="22"/>
          <w:szCs w:val="22"/>
          <w:u w:val="single"/>
        </w:rPr>
        <w:t>anno</w:t>
      </w:r>
      <w:r w:rsidR="00443BB0">
        <w:rPr>
          <w:rFonts w:ascii="Calibri" w:hAnsi="Calibri"/>
          <w:b/>
          <w:bCs/>
          <w:color w:val="000000"/>
          <w:spacing w:val="-1"/>
          <w:sz w:val="22"/>
          <w:szCs w:val="22"/>
          <w:u w:val="single"/>
        </w:rPr>
        <w:t xml:space="preserve"> </w:t>
      </w:r>
      <w:r w:rsidRPr="0038749C">
        <w:rPr>
          <w:rFonts w:ascii="Calibri" w:hAnsi="Calibri"/>
          <w:b/>
          <w:bCs/>
          <w:color w:val="000000"/>
          <w:spacing w:val="-4"/>
          <w:sz w:val="22"/>
          <w:szCs w:val="22"/>
          <w:u w:val="single"/>
        </w:rPr>
        <w:t>201</w:t>
      </w:r>
      <w:r w:rsidR="0063407F">
        <w:rPr>
          <w:rFonts w:ascii="Calibri" w:hAnsi="Calibri"/>
          <w:b/>
          <w:bCs/>
          <w:color w:val="000000"/>
          <w:spacing w:val="-4"/>
          <w:sz w:val="22"/>
          <w:szCs w:val="22"/>
          <w:u w:val="single"/>
        </w:rPr>
        <w:t>5</w:t>
      </w:r>
      <w:r w:rsidRPr="0038749C">
        <w:rPr>
          <w:rFonts w:ascii="Calibri" w:hAnsi="Calibri"/>
          <w:b/>
          <w:bCs/>
          <w:color w:val="000000"/>
          <w:spacing w:val="-4"/>
          <w:sz w:val="22"/>
          <w:szCs w:val="22"/>
        </w:rPr>
        <w:t>,</w:t>
      </w:r>
      <w:r w:rsidR="0063407F">
        <w:rPr>
          <w:rFonts w:ascii="Calibri" w:hAnsi="Calibri"/>
          <w:b/>
          <w:bCs/>
          <w:color w:val="000000"/>
          <w:spacing w:val="-4"/>
          <w:sz w:val="22"/>
          <w:szCs w:val="22"/>
        </w:rPr>
        <w:t xml:space="preserve"> sulla scorta delle aliquote vigenti stabilite con deliberazione di C.C. n. 16 del 20.07.2015</w:t>
      </w:r>
      <w:r w:rsidRPr="0038749C">
        <w:rPr>
          <w:rFonts w:ascii="Calibri" w:hAnsi="Calibri"/>
          <w:b/>
          <w:bCs/>
          <w:color w:val="000000"/>
          <w:spacing w:val="-4"/>
          <w:sz w:val="22"/>
          <w:szCs w:val="22"/>
        </w:rPr>
        <w:t xml:space="preserve"> </w:t>
      </w:r>
      <w:r w:rsidR="0038749C">
        <w:rPr>
          <w:rFonts w:ascii="Calibri" w:hAnsi="Calibri"/>
          <w:color w:val="000000"/>
          <w:spacing w:val="-4"/>
          <w:sz w:val="22"/>
          <w:szCs w:val="22"/>
        </w:rPr>
        <w:t xml:space="preserve">secondo le </w:t>
      </w:r>
      <w:r w:rsidR="0063407F">
        <w:rPr>
          <w:rFonts w:ascii="Calibri" w:hAnsi="Calibri"/>
          <w:color w:val="000000"/>
          <w:spacing w:val="-4"/>
          <w:sz w:val="22"/>
          <w:szCs w:val="22"/>
        </w:rPr>
        <w:t>modalità di seguito indicate.</w:t>
      </w:r>
    </w:p>
    <w:p w:rsidR="0063407F" w:rsidRDefault="0063407F" w:rsidP="0063407F">
      <w:pPr>
        <w:pStyle w:val="Default"/>
        <w:rPr>
          <w:rFonts w:ascii="Calibri" w:hAnsi="Calibri"/>
          <w:spacing w:val="-5"/>
          <w:sz w:val="22"/>
          <w:szCs w:val="22"/>
        </w:rPr>
      </w:pPr>
    </w:p>
    <w:p w:rsidR="0063407F" w:rsidRPr="0063407F" w:rsidRDefault="004228CF" w:rsidP="0063407F">
      <w:pPr>
        <w:pStyle w:val="Default"/>
        <w:jc w:val="both"/>
      </w:pPr>
      <w:r w:rsidRPr="0038749C">
        <w:rPr>
          <w:rFonts w:ascii="Calibri" w:hAnsi="Calibri"/>
          <w:spacing w:val="-5"/>
          <w:sz w:val="22"/>
          <w:szCs w:val="22"/>
        </w:rPr>
        <w:t xml:space="preserve">A. </w:t>
      </w:r>
      <w:r w:rsidRPr="0038749C">
        <w:rPr>
          <w:rFonts w:ascii="Calibri" w:hAnsi="Calibri"/>
          <w:i/>
          <w:iCs/>
          <w:spacing w:val="-5"/>
          <w:sz w:val="22"/>
          <w:szCs w:val="22"/>
        </w:rPr>
        <w:t xml:space="preserve">Ai fini della </w:t>
      </w:r>
      <w:r w:rsidR="00F46E1F" w:rsidRPr="0038749C">
        <w:rPr>
          <w:rFonts w:ascii="Calibri" w:hAnsi="Calibri"/>
          <w:b/>
          <w:bCs/>
          <w:i/>
          <w:iCs/>
          <w:spacing w:val="-5"/>
          <w:sz w:val="22"/>
          <w:szCs w:val="22"/>
          <w:u w:val="single"/>
        </w:rPr>
        <w:t>quantificazione degli</w:t>
      </w:r>
      <w:r w:rsidRPr="0038749C">
        <w:rPr>
          <w:rFonts w:ascii="Calibri" w:hAnsi="Calibri"/>
          <w:b/>
          <w:bCs/>
          <w:i/>
          <w:iCs/>
          <w:spacing w:val="-5"/>
          <w:sz w:val="22"/>
          <w:szCs w:val="22"/>
          <w:u w:val="single"/>
        </w:rPr>
        <w:t xml:space="preserve"> acconti IMU/TASI.</w:t>
      </w:r>
      <w:r w:rsidRPr="0038749C">
        <w:rPr>
          <w:rFonts w:ascii="Calibri" w:hAnsi="Calibri"/>
          <w:b/>
          <w:bCs/>
          <w:i/>
          <w:iCs/>
          <w:spacing w:val="-5"/>
          <w:sz w:val="22"/>
          <w:szCs w:val="22"/>
        </w:rPr>
        <w:t xml:space="preserve"> </w:t>
      </w:r>
      <w:r w:rsidRPr="0038749C">
        <w:rPr>
          <w:rFonts w:ascii="Calibri" w:hAnsi="Calibri"/>
          <w:i/>
          <w:iCs/>
          <w:spacing w:val="-5"/>
          <w:sz w:val="22"/>
          <w:szCs w:val="22"/>
        </w:rPr>
        <w:t xml:space="preserve">occorre moltiplicare la base imponibile, </w:t>
      </w:r>
      <w:r w:rsidRPr="0038749C">
        <w:rPr>
          <w:rFonts w:ascii="Calibri" w:hAnsi="Calibri"/>
          <w:spacing w:val="-3"/>
          <w:sz w:val="22"/>
          <w:szCs w:val="22"/>
        </w:rPr>
        <w:t xml:space="preserve">determinata secondo le modalità di cui alla successiva </w:t>
      </w:r>
      <w:r w:rsidRPr="0038749C">
        <w:rPr>
          <w:rFonts w:ascii="Calibri" w:hAnsi="Calibri"/>
          <w:b/>
          <w:bCs/>
          <w:spacing w:val="-3"/>
          <w:sz w:val="22"/>
          <w:szCs w:val="22"/>
        </w:rPr>
        <w:t xml:space="preserve">lettera B), </w:t>
      </w:r>
      <w:r w:rsidR="0063407F">
        <w:rPr>
          <w:rFonts w:ascii="Calibri" w:hAnsi="Calibri"/>
          <w:i/>
          <w:iCs/>
          <w:spacing w:val="-3"/>
          <w:sz w:val="22"/>
          <w:szCs w:val="22"/>
        </w:rPr>
        <w:t>per le aliquote fissate per l’annualità 2015</w:t>
      </w:r>
      <w:r w:rsidRPr="0038749C">
        <w:rPr>
          <w:rFonts w:ascii="Calibri" w:hAnsi="Calibri"/>
          <w:i/>
          <w:iCs/>
          <w:spacing w:val="-4"/>
          <w:sz w:val="22"/>
          <w:szCs w:val="22"/>
        </w:rPr>
        <w:t xml:space="preserve"> </w:t>
      </w:r>
      <w:r w:rsidRPr="0038749C">
        <w:rPr>
          <w:rFonts w:ascii="Calibri" w:hAnsi="Calibri"/>
          <w:spacing w:val="-4"/>
          <w:sz w:val="22"/>
          <w:szCs w:val="22"/>
        </w:rPr>
        <w:t>e di cu</w:t>
      </w:r>
      <w:r w:rsidR="0063407F">
        <w:rPr>
          <w:rFonts w:ascii="Calibri" w:hAnsi="Calibri"/>
          <w:spacing w:val="-4"/>
          <w:sz w:val="22"/>
          <w:szCs w:val="22"/>
        </w:rPr>
        <w:t xml:space="preserve">i ai seguenti quadri sinottici; </w:t>
      </w:r>
      <w:r w:rsidR="0063407F">
        <w:rPr>
          <w:b/>
          <w:bCs/>
          <w:i/>
          <w:iCs/>
          <w:color w:val="auto"/>
          <w:sz w:val="23"/>
          <w:szCs w:val="23"/>
        </w:rPr>
        <w:t>i rispettivi importi a saldo</w:t>
      </w:r>
      <w:r w:rsidR="0063407F">
        <w:rPr>
          <w:color w:val="auto"/>
          <w:sz w:val="23"/>
          <w:szCs w:val="23"/>
        </w:rPr>
        <w:t xml:space="preserve">, determinati scomputando dai tributi IMU e TASI dovuti i relativi acconti, pagati entro il 16 giugno scorso, come suesposto dovranno essere versati a conguaglio entro il 16 dicembre 2015. </w:t>
      </w:r>
    </w:p>
    <w:p w:rsidR="00BF2AA3" w:rsidRPr="0038749C" w:rsidRDefault="004228CF" w:rsidP="0063407F">
      <w:pPr>
        <w:shd w:val="clear" w:color="auto" w:fill="FFFFFF"/>
        <w:spacing w:line="263" w:lineRule="exact"/>
        <w:ind w:left="410" w:right="7" w:hanging="346"/>
        <w:jc w:val="both"/>
        <w:rPr>
          <w:rFonts w:ascii="Calibri" w:hAnsi="Calibri"/>
          <w:b/>
          <w:bCs/>
          <w:color w:val="000000"/>
          <w:spacing w:val="-18"/>
          <w:sz w:val="22"/>
          <w:szCs w:val="22"/>
          <w:u w:val="thick"/>
        </w:rPr>
      </w:pPr>
      <w:r w:rsidRPr="0038749C">
        <w:rPr>
          <w:rFonts w:ascii="Calibri" w:hAnsi="Calibri"/>
          <w:b/>
          <w:bCs/>
          <w:color w:val="000000"/>
          <w:spacing w:val="-18"/>
          <w:sz w:val="22"/>
          <w:szCs w:val="22"/>
          <w:u w:val="thick"/>
        </w:rPr>
        <w:t>I</w:t>
      </w:r>
      <w:r w:rsidR="00F46E1F" w:rsidRPr="0038749C">
        <w:rPr>
          <w:rFonts w:ascii="Calibri" w:hAnsi="Calibri"/>
          <w:b/>
          <w:bCs/>
          <w:color w:val="000000"/>
          <w:spacing w:val="-18"/>
          <w:sz w:val="22"/>
          <w:szCs w:val="22"/>
          <w:u w:val="thick"/>
        </w:rPr>
        <w:t>.</w:t>
      </w:r>
      <w:r w:rsidRPr="0038749C">
        <w:rPr>
          <w:rFonts w:ascii="Calibri" w:hAnsi="Calibri"/>
          <w:b/>
          <w:bCs/>
          <w:color w:val="000000"/>
          <w:spacing w:val="-18"/>
          <w:sz w:val="22"/>
          <w:szCs w:val="22"/>
          <w:u w:val="thick"/>
        </w:rPr>
        <w:t>M</w:t>
      </w:r>
      <w:r w:rsidR="00F46E1F" w:rsidRPr="0038749C">
        <w:rPr>
          <w:rFonts w:ascii="Calibri" w:hAnsi="Calibri"/>
          <w:b/>
          <w:bCs/>
          <w:color w:val="000000"/>
          <w:spacing w:val="-18"/>
          <w:sz w:val="22"/>
          <w:szCs w:val="22"/>
          <w:u w:val="thick"/>
        </w:rPr>
        <w:t>.</w:t>
      </w:r>
      <w:r w:rsidRPr="0038749C">
        <w:rPr>
          <w:rFonts w:ascii="Calibri" w:hAnsi="Calibri"/>
          <w:b/>
          <w:bCs/>
          <w:color w:val="000000"/>
          <w:spacing w:val="-18"/>
          <w:sz w:val="22"/>
          <w:szCs w:val="22"/>
          <w:u w:val="thick"/>
        </w:rPr>
        <w:t>U</w:t>
      </w:r>
      <w:r w:rsidR="00F46E1F" w:rsidRPr="0038749C">
        <w:rPr>
          <w:rFonts w:ascii="Calibri" w:hAnsi="Calibri"/>
          <w:b/>
          <w:bCs/>
          <w:color w:val="000000"/>
          <w:spacing w:val="-18"/>
          <w:sz w:val="22"/>
          <w:szCs w:val="22"/>
          <w:u w:val="thick"/>
        </w:rPr>
        <w:t>.</w:t>
      </w:r>
    </w:p>
    <w:tbl>
      <w:tblPr>
        <w:tblStyle w:val="Grigliatabella"/>
        <w:tblW w:w="9072" w:type="dxa"/>
        <w:jc w:val="center"/>
        <w:tblLook w:val="04A0" w:firstRow="1" w:lastRow="0" w:firstColumn="1" w:lastColumn="0" w:noHBand="0" w:noVBand="1"/>
      </w:tblPr>
      <w:tblGrid>
        <w:gridCol w:w="9072"/>
      </w:tblGrid>
      <w:tr w:rsidR="00092269" w:rsidRPr="0038749C" w:rsidTr="00092269">
        <w:trPr>
          <w:jc w:val="center"/>
        </w:trPr>
        <w:tc>
          <w:tcPr>
            <w:tcW w:w="9072" w:type="dxa"/>
          </w:tcPr>
          <w:p w:rsidR="00092269" w:rsidRPr="0038749C" w:rsidRDefault="00092269" w:rsidP="00C12683">
            <w:pPr>
              <w:shd w:val="clear" w:color="auto" w:fill="FFFFFF"/>
              <w:spacing w:before="238" w:line="266" w:lineRule="exact"/>
              <w:ind w:left="691" w:hanging="310"/>
              <w:rPr>
                <w:rFonts w:ascii="Calibri" w:hAnsi="Calibri"/>
              </w:rPr>
            </w:pPr>
            <w:r w:rsidRPr="0038749C">
              <w:rPr>
                <w:rFonts w:ascii="Calibri" w:hAnsi="Calibri"/>
                <w:color w:val="000000"/>
              </w:rPr>
              <w:t xml:space="preserve">1.  </w:t>
            </w:r>
            <w:r w:rsidRPr="0038749C">
              <w:rPr>
                <w:rFonts w:ascii="Calibri" w:hAnsi="Calibri"/>
                <w:b/>
                <w:color w:val="000000"/>
              </w:rPr>
              <w:t>0,</w:t>
            </w:r>
            <w:r w:rsidR="00BE50EB" w:rsidRPr="0038749C">
              <w:rPr>
                <w:rFonts w:ascii="Calibri" w:hAnsi="Calibri"/>
                <w:b/>
                <w:color w:val="000000"/>
              </w:rPr>
              <w:t>40</w:t>
            </w:r>
            <w:r w:rsidRPr="0038749C">
              <w:rPr>
                <w:rFonts w:ascii="Calibri" w:hAnsi="Calibri"/>
                <w:color w:val="000000"/>
              </w:rPr>
              <w:t xml:space="preserve"> per cento per abitazione principale (categorie catastali A/1, A</w:t>
            </w:r>
            <w:r w:rsidR="00C12683" w:rsidRPr="0038749C">
              <w:rPr>
                <w:rFonts w:ascii="Calibri" w:hAnsi="Calibri"/>
                <w:color w:val="000000"/>
              </w:rPr>
              <w:t>/8 e A/9) e relative pertinenze;</w:t>
            </w:r>
          </w:p>
        </w:tc>
      </w:tr>
      <w:tr w:rsidR="00092269" w:rsidRPr="0038749C" w:rsidTr="00092269">
        <w:trPr>
          <w:jc w:val="center"/>
        </w:trPr>
        <w:tc>
          <w:tcPr>
            <w:tcW w:w="9072" w:type="dxa"/>
          </w:tcPr>
          <w:p w:rsidR="00092269" w:rsidRPr="0038749C" w:rsidRDefault="00C12683" w:rsidP="00A240E9">
            <w:pPr>
              <w:shd w:val="clear" w:color="auto" w:fill="FFFFFF"/>
              <w:spacing w:before="270"/>
              <w:ind w:left="360"/>
              <w:rPr>
                <w:rFonts w:ascii="Calibri" w:hAnsi="Calibri"/>
              </w:rPr>
            </w:pPr>
            <w:r w:rsidRPr="0038749C">
              <w:rPr>
                <w:rFonts w:ascii="Calibri" w:hAnsi="Calibri"/>
                <w:color w:val="000000"/>
                <w:spacing w:val="-5"/>
              </w:rPr>
              <w:t>2</w:t>
            </w:r>
            <w:r w:rsidR="00092269" w:rsidRPr="0038749C">
              <w:rPr>
                <w:rFonts w:ascii="Calibri" w:hAnsi="Calibri"/>
                <w:color w:val="000000"/>
                <w:spacing w:val="-5"/>
              </w:rPr>
              <w:t xml:space="preserve">.  </w:t>
            </w:r>
            <w:r w:rsidR="00092269" w:rsidRPr="0038749C">
              <w:rPr>
                <w:rFonts w:ascii="Calibri" w:hAnsi="Calibri"/>
                <w:b/>
                <w:color w:val="000000"/>
                <w:spacing w:val="-5"/>
              </w:rPr>
              <w:t>0,76</w:t>
            </w:r>
            <w:r w:rsidR="00092269" w:rsidRPr="0038749C">
              <w:rPr>
                <w:rFonts w:ascii="Calibri" w:hAnsi="Calibri"/>
                <w:color w:val="000000"/>
                <w:spacing w:val="-5"/>
              </w:rPr>
              <w:t xml:space="preserve"> per cento per tutte le restanti tipologie di cespiti</w:t>
            </w:r>
          </w:p>
        </w:tc>
      </w:tr>
      <w:tr w:rsidR="00C12683" w:rsidRPr="0038749C" w:rsidTr="00092269">
        <w:trPr>
          <w:jc w:val="center"/>
        </w:trPr>
        <w:tc>
          <w:tcPr>
            <w:tcW w:w="9072" w:type="dxa"/>
          </w:tcPr>
          <w:p w:rsidR="00C12683" w:rsidRPr="0038749C" w:rsidRDefault="00C12683" w:rsidP="00C12683">
            <w:pPr>
              <w:shd w:val="clear" w:color="auto" w:fill="FFFFFF"/>
              <w:spacing w:before="270"/>
              <w:ind w:left="360"/>
              <w:rPr>
                <w:rFonts w:ascii="Calibri" w:hAnsi="Calibri"/>
                <w:color w:val="000000"/>
                <w:spacing w:val="-5"/>
              </w:rPr>
            </w:pPr>
            <w:r w:rsidRPr="0038749C">
              <w:rPr>
                <w:rFonts w:ascii="Calibri" w:hAnsi="Calibri"/>
                <w:color w:val="000000"/>
                <w:spacing w:val="-5"/>
              </w:rPr>
              <w:t xml:space="preserve">3.  </w:t>
            </w:r>
            <w:r w:rsidRPr="0038749C">
              <w:rPr>
                <w:rFonts w:ascii="Calibri" w:hAnsi="Calibri"/>
                <w:b/>
                <w:color w:val="000000"/>
                <w:spacing w:val="-5"/>
              </w:rPr>
              <w:t>0,76</w:t>
            </w:r>
            <w:r w:rsidRPr="0038749C">
              <w:rPr>
                <w:rFonts w:ascii="Calibri" w:hAnsi="Calibri"/>
                <w:color w:val="000000"/>
                <w:spacing w:val="-5"/>
              </w:rPr>
              <w:t xml:space="preserve"> per cento per immobili ad uso produttivo classificati nel gruppo catastale D </w:t>
            </w:r>
          </w:p>
        </w:tc>
      </w:tr>
    </w:tbl>
    <w:p w:rsidR="00C12683" w:rsidRPr="0038749C" w:rsidRDefault="00C12683" w:rsidP="00C12683">
      <w:pPr>
        <w:shd w:val="clear" w:color="auto" w:fill="FFFFFF"/>
        <w:spacing w:before="263"/>
        <w:jc w:val="both"/>
        <w:rPr>
          <w:rFonts w:ascii="Calibri" w:hAnsi="Calibri"/>
          <w:bCs/>
          <w:color w:val="000000"/>
          <w:spacing w:val="-17"/>
          <w:sz w:val="22"/>
          <w:szCs w:val="22"/>
        </w:rPr>
      </w:pPr>
      <w:r w:rsidRPr="0038749C">
        <w:rPr>
          <w:rFonts w:ascii="Calibri" w:hAnsi="Calibri"/>
          <w:b/>
          <w:bCs/>
          <w:color w:val="000000"/>
          <w:spacing w:val="-17"/>
          <w:sz w:val="22"/>
          <w:szCs w:val="22"/>
          <w:u w:val="single"/>
        </w:rPr>
        <w:t>DETRAZIONE</w:t>
      </w:r>
      <w:r w:rsidRPr="0038749C">
        <w:rPr>
          <w:rFonts w:ascii="Calibri" w:hAnsi="Calibri"/>
          <w:bCs/>
          <w:color w:val="000000"/>
          <w:spacing w:val="-17"/>
          <w:sz w:val="22"/>
          <w:szCs w:val="22"/>
          <w:u w:val="single"/>
        </w:rPr>
        <w:t>:</w:t>
      </w:r>
      <w:r w:rsidRPr="0038749C">
        <w:rPr>
          <w:rFonts w:ascii="Calibri" w:hAnsi="Calibri"/>
          <w:bCs/>
          <w:color w:val="000000"/>
          <w:spacing w:val="-17"/>
          <w:sz w:val="22"/>
          <w:szCs w:val="22"/>
        </w:rPr>
        <w:t xml:space="preserve">  € 200,00  di base ed € 50,00 per ciascun figlio di età inferiore a 26 anni, purché dimorante abitualmente e residente anagraficamente nell’unità immobiliare adibita </w:t>
      </w:r>
      <w:r w:rsidR="00443BB0">
        <w:rPr>
          <w:rFonts w:ascii="Calibri" w:hAnsi="Calibri"/>
          <w:bCs/>
          <w:color w:val="000000"/>
          <w:spacing w:val="-17"/>
          <w:sz w:val="22"/>
          <w:szCs w:val="22"/>
        </w:rPr>
        <w:t xml:space="preserve"> </w:t>
      </w:r>
      <w:r w:rsidRPr="0038749C">
        <w:rPr>
          <w:rFonts w:ascii="Calibri" w:hAnsi="Calibri"/>
          <w:bCs/>
          <w:color w:val="000000"/>
          <w:spacing w:val="-17"/>
          <w:sz w:val="22"/>
          <w:szCs w:val="22"/>
        </w:rPr>
        <w:t>ad abitazione principale, sino ad un massimo di € 400,00.</w:t>
      </w:r>
    </w:p>
    <w:p w:rsidR="00C12683" w:rsidRPr="0038749C" w:rsidRDefault="004228CF" w:rsidP="00C12683">
      <w:pPr>
        <w:shd w:val="clear" w:color="auto" w:fill="FFFFFF"/>
        <w:spacing w:before="263"/>
        <w:jc w:val="center"/>
        <w:rPr>
          <w:b/>
          <w:bCs/>
          <w:color w:val="000000"/>
          <w:spacing w:val="-17"/>
          <w:sz w:val="22"/>
          <w:szCs w:val="22"/>
          <w:u w:val="single"/>
        </w:rPr>
      </w:pPr>
      <w:r w:rsidRPr="0038749C">
        <w:rPr>
          <w:b/>
          <w:bCs/>
          <w:color w:val="000000"/>
          <w:spacing w:val="-17"/>
          <w:sz w:val="22"/>
          <w:szCs w:val="22"/>
          <w:u w:val="single"/>
        </w:rPr>
        <w:t>T</w:t>
      </w:r>
      <w:r w:rsidR="0003753F" w:rsidRPr="0038749C">
        <w:rPr>
          <w:b/>
          <w:bCs/>
          <w:color w:val="000000"/>
          <w:spacing w:val="-17"/>
          <w:sz w:val="22"/>
          <w:szCs w:val="22"/>
          <w:u w:val="single"/>
        </w:rPr>
        <w:t>.</w:t>
      </w:r>
      <w:r w:rsidRPr="0038749C">
        <w:rPr>
          <w:b/>
          <w:bCs/>
          <w:color w:val="000000"/>
          <w:spacing w:val="-17"/>
          <w:sz w:val="22"/>
          <w:szCs w:val="22"/>
          <w:u w:val="single"/>
        </w:rPr>
        <w:t>A</w:t>
      </w:r>
      <w:r w:rsidR="0003753F" w:rsidRPr="0038749C">
        <w:rPr>
          <w:b/>
          <w:bCs/>
          <w:color w:val="000000"/>
          <w:spacing w:val="-17"/>
          <w:sz w:val="22"/>
          <w:szCs w:val="22"/>
          <w:u w:val="single"/>
        </w:rPr>
        <w:t>.</w:t>
      </w:r>
      <w:r w:rsidRPr="0038749C">
        <w:rPr>
          <w:b/>
          <w:bCs/>
          <w:color w:val="000000"/>
          <w:spacing w:val="-17"/>
          <w:sz w:val="22"/>
          <w:szCs w:val="22"/>
          <w:u w:val="single"/>
        </w:rPr>
        <w:t>S</w:t>
      </w:r>
      <w:r w:rsidR="0003753F" w:rsidRPr="0038749C">
        <w:rPr>
          <w:b/>
          <w:bCs/>
          <w:color w:val="000000"/>
          <w:spacing w:val="-17"/>
          <w:sz w:val="22"/>
          <w:szCs w:val="22"/>
          <w:u w:val="single"/>
        </w:rPr>
        <w:t>.</w:t>
      </w:r>
      <w:r w:rsidRPr="0038749C">
        <w:rPr>
          <w:b/>
          <w:bCs/>
          <w:color w:val="000000"/>
          <w:spacing w:val="-17"/>
          <w:sz w:val="22"/>
          <w:szCs w:val="22"/>
          <w:u w:val="single"/>
        </w:rPr>
        <w:t>I</w:t>
      </w:r>
      <w:r w:rsidR="0003753F" w:rsidRPr="0038749C">
        <w:rPr>
          <w:b/>
          <w:bCs/>
          <w:color w:val="000000"/>
          <w:spacing w:val="-17"/>
          <w:sz w:val="22"/>
          <w:szCs w:val="22"/>
          <w:u w:val="single"/>
        </w:rPr>
        <w:t>.</w:t>
      </w:r>
    </w:p>
    <w:tbl>
      <w:tblPr>
        <w:tblStyle w:val="Grigliatabella"/>
        <w:tblW w:w="9072" w:type="dxa"/>
        <w:jc w:val="center"/>
        <w:tblLook w:val="04A0" w:firstRow="1" w:lastRow="0" w:firstColumn="1" w:lastColumn="0" w:noHBand="0" w:noVBand="1"/>
      </w:tblPr>
      <w:tblGrid>
        <w:gridCol w:w="9072"/>
      </w:tblGrid>
      <w:tr w:rsidR="00E225EF" w:rsidRPr="0038749C" w:rsidTr="00E95929">
        <w:trPr>
          <w:jc w:val="center"/>
        </w:trPr>
        <w:tc>
          <w:tcPr>
            <w:tcW w:w="9072" w:type="dxa"/>
          </w:tcPr>
          <w:p w:rsidR="00E225EF" w:rsidRPr="0038749C" w:rsidRDefault="00E225EF" w:rsidP="00E225EF">
            <w:pPr>
              <w:shd w:val="clear" w:color="auto" w:fill="FFFFFF"/>
              <w:spacing w:before="238" w:line="266" w:lineRule="exact"/>
              <w:ind w:left="691" w:hanging="310"/>
              <w:rPr>
                <w:rFonts w:ascii="Calibri" w:hAnsi="Calibri"/>
              </w:rPr>
            </w:pPr>
            <w:r w:rsidRPr="0038749C">
              <w:rPr>
                <w:rFonts w:ascii="Calibri" w:hAnsi="Calibri"/>
                <w:color w:val="000000"/>
              </w:rPr>
              <w:t xml:space="preserve">1.  </w:t>
            </w:r>
            <w:r w:rsidRPr="0038749C">
              <w:rPr>
                <w:rFonts w:ascii="Calibri" w:hAnsi="Calibri"/>
                <w:b/>
                <w:color w:val="000000"/>
              </w:rPr>
              <w:t>0,1</w:t>
            </w:r>
            <w:r w:rsidRPr="0038749C">
              <w:rPr>
                <w:rFonts w:ascii="Calibri" w:hAnsi="Calibri"/>
                <w:color w:val="000000"/>
              </w:rPr>
              <w:t xml:space="preserve"> per cento per abitazione principale e relative pertinenze;</w:t>
            </w:r>
          </w:p>
        </w:tc>
      </w:tr>
      <w:tr w:rsidR="00E225EF" w:rsidRPr="0038749C" w:rsidTr="00E95929">
        <w:trPr>
          <w:jc w:val="center"/>
        </w:trPr>
        <w:tc>
          <w:tcPr>
            <w:tcW w:w="9072" w:type="dxa"/>
          </w:tcPr>
          <w:p w:rsidR="00E225EF" w:rsidRPr="0038749C" w:rsidRDefault="00E225EF" w:rsidP="00E225EF">
            <w:pPr>
              <w:shd w:val="clear" w:color="auto" w:fill="FFFFFF"/>
              <w:spacing w:before="270"/>
              <w:ind w:left="360"/>
              <w:rPr>
                <w:rFonts w:ascii="Calibri" w:hAnsi="Calibri"/>
              </w:rPr>
            </w:pPr>
            <w:r w:rsidRPr="0038749C">
              <w:rPr>
                <w:rFonts w:ascii="Calibri" w:hAnsi="Calibri"/>
                <w:color w:val="000000"/>
                <w:spacing w:val="-5"/>
              </w:rPr>
              <w:t xml:space="preserve">2.  </w:t>
            </w:r>
            <w:r w:rsidRPr="0038749C">
              <w:rPr>
                <w:rFonts w:ascii="Calibri" w:hAnsi="Calibri"/>
                <w:b/>
                <w:color w:val="000000"/>
                <w:spacing w:val="-5"/>
              </w:rPr>
              <w:t>0,1</w:t>
            </w:r>
            <w:r w:rsidRPr="0038749C">
              <w:rPr>
                <w:rFonts w:ascii="Calibri" w:hAnsi="Calibri"/>
                <w:color w:val="000000"/>
                <w:spacing w:val="-5"/>
              </w:rPr>
              <w:t xml:space="preserve"> per cento per tutte le restanti tipologie di cespiti</w:t>
            </w:r>
          </w:p>
        </w:tc>
      </w:tr>
      <w:tr w:rsidR="00E225EF" w:rsidRPr="0038749C" w:rsidTr="00E95929">
        <w:trPr>
          <w:jc w:val="center"/>
        </w:trPr>
        <w:tc>
          <w:tcPr>
            <w:tcW w:w="9072" w:type="dxa"/>
          </w:tcPr>
          <w:p w:rsidR="00E225EF" w:rsidRPr="0038749C" w:rsidRDefault="00E225EF" w:rsidP="00E225EF">
            <w:pPr>
              <w:shd w:val="clear" w:color="auto" w:fill="FFFFFF"/>
              <w:spacing w:before="270"/>
              <w:ind w:left="360"/>
              <w:rPr>
                <w:rFonts w:ascii="Calibri" w:hAnsi="Calibri"/>
                <w:color w:val="000000"/>
                <w:spacing w:val="-5"/>
              </w:rPr>
            </w:pPr>
            <w:r w:rsidRPr="0038749C">
              <w:rPr>
                <w:rFonts w:ascii="Calibri" w:hAnsi="Calibri"/>
                <w:color w:val="000000"/>
                <w:spacing w:val="-5"/>
              </w:rPr>
              <w:t xml:space="preserve">3.  </w:t>
            </w:r>
            <w:r w:rsidRPr="0038749C">
              <w:rPr>
                <w:rFonts w:ascii="Calibri" w:hAnsi="Calibri"/>
                <w:b/>
                <w:color w:val="000000"/>
                <w:spacing w:val="-5"/>
              </w:rPr>
              <w:t>0,1</w:t>
            </w:r>
            <w:r w:rsidRPr="0038749C">
              <w:rPr>
                <w:rFonts w:ascii="Calibri" w:hAnsi="Calibri"/>
                <w:color w:val="000000"/>
                <w:spacing w:val="-5"/>
              </w:rPr>
              <w:t xml:space="preserve"> per cento per immobili ad uso produttivo classificati nel gruppo catastale D </w:t>
            </w:r>
          </w:p>
        </w:tc>
      </w:tr>
    </w:tbl>
    <w:p w:rsidR="00E225EF" w:rsidRPr="0038749C" w:rsidRDefault="00E225EF" w:rsidP="00E225EF">
      <w:pPr>
        <w:shd w:val="clear" w:color="auto" w:fill="FFFFFF"/>
        <w:spacing w:line="263" w:lineRule="exact"/>
        <w:rPr>
          <w:b/>
          <w:bCs/>
          <w:color w:val="000000"/>
          <w:spacing w:val="-17"/>
          <w:sz w:val="22"/>
          <w:szCs w:val="22"/>
          <w:u w:val="single"/>
        </w:rPr>
      </w:pPr>
    </w:p>
    <w:p w:rsidR="00BF2AA3" w:rsidRPr="0038749C" w:rsidRDefault="004228CF" w:rsidP="00E225EF">
      <w:pPr>
        <w:shd w:val="clear" w:color="auto" w:fill="FFFFFF"/>
        <w:spacing w:line="263" w:lineRule="exact"/>
        <w:rPr>
          <w:rFonts w:ascii="Calibri" w:hAnsi="Calibri"/>
          <w:sz w:val="22"/>
          <w:szCs w:val="22"/>
        </w:rPr>
      </w:pPr>
      <w:r w:rsidRPr="0038749C">
        <w:rPr>
          <w:rFonts w:ascii="Calibri" w:hAnsi="Calibri"/>
          <w:bCs/>
          <w:color w:val="000000"/>
          <w:spacing w:val="-2"/>
          <w:sz w:val="22"/>
          <w:szCs w:val="22"/>
        </w:rPr>
        <w:t>B</w:t>
      </w:r>
      <w:r w:rsidRPr="0038749C">
        <w:rPr>
          <w:rFonts w:ascii="Calibri" w:hAnsi="Calibri"/>
          <w:b/>
          <w:bCs/>
          <w:color w:val="000000"/>
          <w:spacing w:val="-2"/>
          <w:sz w:val="22"/>
          <w:szCs w:val="22"/>
        </w:rPr>
        <w:t xml:space="preserve">. </w:t>
      </w:r>
      <w:r w:rsidRPr="0038749C">
        <w:rPr>
          <w:rFonts w:ascii="Calibri" w:hAnsi="Calibri"/>
          <w:color w:val="000000"/>
          <w:spacing w:val="-2"/>
          <w:sz w:val="22"/>
          <w:szCs w:val="22"/>
        </w:rPr>
        <w:t xml:space="preserve">Per il </w:t>
      </w:r>
      <w:r w:rsidRPr="0038749C">
        <w:rPr>
          <w:rFonts w:ascii="Calibri" w:hAnsi="Calibri"/>
          <w:b/>
          <w:bCs/>
          <w:color w:val="000000"/>
          <w:spacing w:val="-2"/>
          <w:sz w:val="22"/>
          <w:szCs w:val="22"/>
          <w:u w:val="single"/>
        </w:rPr>
        <w:t>calcolo de</w:t>
      </w:r>
      <w:r w:rsidR="00DA6E36" w:rsidRPr="0038749C">
        <w:rPr>
          <w:rFonts w:ascii="Calibri" w:hAnsi="Calibri"/>
          <w:b/>
          <w:bCs/>
          <w:color w:val="000000"/>
          <w:spacing w:val="-2"/>
          <w:sz w:val="22"/>
          <w:szCs w:val="22"/>
          <w:u w:val="single"/>
        </w:rPr>
        <w:t>lla base imponibile ai fini IMU</w:t>
      </w:r>
      <w:r w:rsidRPr="0038749C">
        <w:rPr>
          <w:rFonts w:ascii="Calibri" w:hAnsi="Calibri"/>
          <w:b/>
          <w:bCs/>
          <w:color w:val="000000"/>
          <w:spacing w:val="-2"/>
          <w:sz w:val="22"/>
          <w:szCs w:val="22"/>
          <w:u w:val="single"/>
        </w:rPr>
        <w:t xml:space="preserve"> e TASI</w:t>
      </w:r>
      <w:r w:rsidRPr="0038749C">
        <w:rPr>
          <w:rFonts w:ascii="Calibri" w:hAnsi="Calibri"/>
          <w:b/>
          <w:bCs/>
          <w:color w:val="000000"/>
          <w:spacing w:val="-2"/>
          <w:sz w:val="22"/>
          <w:szCs w:val="22"/>
        </w:rPr>
        <w:t xml:space="preserve">, </w:t>
      </w:r>
      <w:r w:rsidRPr="0038749C">
        <w:rPr>
          <w:rFonts w:ascii="Calibri" w:hAnsi="Calibri"/>
          <w:color w:val="000000"/>
          <w:spacing w:val="-2"/>
          <w:sz w:val="22"/>
          <w:szCs w:val="22"/>
        </w:rPr>
        <w:t xml:space="preserve">è necessario procedere secondo le </w:t>
      </w:r>
      <w:r w:rsidRPr="0038749C">
        <w:rPr>
          <w:rFonts w:ascii="Calibri" w:hAnsi="Calibri"/>
          <w:color w:val="000000"/>
          <w:sz w:val="22"/>
          <w:szCs w:val="22"/>
        </w:rPr>
        <w:t>modalità di seguito indicate:</w:t>
      </w:r>
    </w:p>
    <w:p w:rsidR="00BF2AA3" w:rsidRPr="0038749C" w:rsidRDefault="004228CF" w:rsidP="00E225EF">
      <w:pPr>
        <w:shd w:val="clear" w:color="auto" w:fill="FFFFFF"/>
        <w:tabs>
          <w:tab w:val="left" w:pos="648"/>
        </w:tabs>
        <w:spacing w:before="72" w:line="270" w:lineRule="exact"/>
        <w:ind w:left="648" w:right="18" w:hanging="266"/>
        <w:jc w:val="both"/>
        <w:rPr>
          <w:rFonts w:ascii="Calibri" w:hAnsi="Calibri"/>
          <w:sz w:val="22"/>
          <w:szCs w:val="22"/>
        </w:rPr>
      </w:pPr>
      <w:r w:rsidRPr="0038749C">
        <w:rPr>
          <w:rFonts w:ascii="Calibri" w:hAnsi="Calibri"/>
          <w:color w:val="000000"/>
          <w:sz w:val="22"/>
          <w:szCs w:val="22"/>
        </w:rPr>
        <w:t>•</w:t>
      </w:r>
      <w:r w:rsidRPr="0038749C">
        <w:rPr>
          <w:rFonts w:ascii="Calibri" w:hAnsi="Calibri"/>
          <w:color w:val="000000"/>
          <w:sz w:val="22"/>
          <w:szCs w:val="22"/>
        </w:rPr>
        <w:tab/>
      </w:r>
      <w:r w:rsidRPr="0038749C">
        <w:rPr>
          <w:rFonts w:ascii="Calibri" w:hAnsi="Calibri"/>
          <w:b/>
          <w:bCs/>
          <w:color w:val="000000"/>
          <w:spacing w:val="-4"/>
          <w:sz w:val="22"/>
          <w:szCs w:val="22"/>
          <w:u w:val="single"/>
        </w:rPr>
        <w:t>Fabbricati iscritti in catasto</w:t>
      </w:r>
      <w:r w:rsidRPr="0038749C">
        <w:rPr>
          <w:rFonts w:ascii="Calibri" w:hAnsi="Calibri"/>
          <w:b/>
          <w:bCs/>
          <w:color w:val="000000"/>
          <w:spacing w:val="-4"/>
          <w:sz w:val="22"/>
          <w:szCs w:val="22"/>
        </w:rPr>
        <w:t xml:space="preserve">: </w:t>
      </w:r>
      <w:r w:rsidRPr="0038749C">
        <w:rPr>
          <w:rFonts w:ascii="Calibri" w:hAnsi="Calibri"/>
          <w:color w:val="000000"/>
          <w:spacing w:val="-4"/>
          <w:sz w:val="22"/>
          <w:szCs w:val="22"/>
        </w:rPr>
        <w:t>si moltiplica la rendita risu</w:t>
      </w:r>
      <w:r w:rsidR="00E225EF" w:rsidRPr="0038749C">
        <w:rPr>
          <w:rFonts w:ascii="Calibri" w:hAnsi="Calibri"/>
          <w:color w:val="000000"/>
          <w:spacing w:val="-4"/>
          <w:sz w:val="22"/>
          <w:szCs w:val="22"/>
        </w:rPr>
        <w:t xml:space="preserve">ltante in catasto al 1° gennaio </w:t>
      </w:r>
      <w:r w:rsidRPr="0038749C">
        <w:rPr>
          <w:rFonts w:ascii="Calibri" w:hAnsi="Calibri"/>
          <w:color w:val="000000"/>
          <w:spacing w:val="-4"/>
          <w:sz w:val="22"/>
          <w:szCs w:val="22"/>
        </w:rPr>
        <w:t>dell'anno d'imposizione, rivalutata del 5%, per i seguenti moltiplicatori:</w:t>
      </w:r>
    </w:p>
    <w:p w:rsidR="00BF2AA3" w:rsidRPr="0038749C" w:rsidRDefault="004228CF" w:rsidP="00E225EF">
      <w:pPr>
        <w:numPr>
          <w:ilvl w:val="0"/>
          <w:numId w:val="1"/>
        </w:numPr>
        <w:shd w:val="clear" w:color="auto" w:fill="FFFFFF"/>
        <w:tabs>
          <w:tab w:val="left" w:pos="918"/>
        </w:tabs>
        <w:spacing w:before="11" w:line="270" w:lineRule="exact"/>
        <w:ind w:left="918" w:hanging="277"/>
        <w:jc w:val="both"/>
        <w:rPr>
          <w:rFonts w:ascii="Calibri" w:hAnsi="Calibri"/>
          <w:color w:val="000000"/>
          <w:sz w:val="22"/>
          <w:szCs w:val="22"/>
        </w:rPr>
      </w:pPr>
      <w:r w:rsidRPr="0038749C">
        <w:rPr>
          <w:rFonts w:ascii="Calibri" w:hAnsi="Calibri"/>
          <w:b/>
          <w:bCs/>
          <w:color w:val="000000"/>
          <w:spacing w:val="-2"/>
          <w:sz w:val="22"/>
          <w:szCs w:val="22"/>
          <w:u w:val="single"/>
        </w:rPr>
        <w:t>160</w:t>
      </w:r>
      <w:r w:rsidRPr="0038749C">
        <w:rPr>
          <w:rFonts w:ascii="Calibri" w:hAnsi="Calibri"/>
          <w:b/>
          <w:bCs/>
          <w:color w:val="000000"/>
          <w:spacing w:val="-2"/>
          <w:sz w:val="22"/>
          <w:szCs w:val="22"/>
        </w:rPr>
        <w:t xml:space="preserve"> </w:t>
      </w:r>
      <w:r w:rsidRPr="0038749C">
        <w:rPr>
          <w:rFonts w:ascii="Calibri" w:hAnsi="Calibri"/>
          <w:color w:val="000000"/>
          <w:spacing w:val="-2"/>
          <w:sz w:val="22"/>
          <w:szCs w:val="22"/>
        </w:rPr>
        <w:t xml:space="preserve">per i fabbricati classificati nelle categorie catastali A (escluso la categoria A/10) e </w:t>
      </w:r>
      <w:r w:rsidRPr="0038749C">
        <w:rPr>
          <w:rFonts w:ascii="Calibri" w:hAnsi="Calibri"/>
          <w:color w:val="000000"/>
          <w:sz w:val="22"/>
          <w:szCs w:val="22"/>
        </w:rPr>
        <w:t>nelle categorie C/2, C/6 e C/7;</w:t>
      </w:r>
    </w:p>
    <w:p w:rsidR="00BF2AA3" w:rsidRPr="0038749C" w:rsidRDefault="004228CF" w:rsidP="004228CF">
      <w:pPr>
        <w:numPr>
          <w:ilvl w:val="0"/>
          <w:numId w:val="1"/>
        </w:numPr>
        <w:shd w:val="clear" w:color="auto" w:fill="FFFFFF"/>
        <w:tabs>
          <w:tab w:val="left" w:pos="918"/>
        </w:tabs>
        <w:spacing w:before="11" w:line="270" w:lineRule="exact"/>
        <w:ind w:left="641"/>
        <w:rPr>
          <w:rFonts w:ascii="Calibri" w:hAnsi="Calibri"/>
          <w:color w:val="000000"/>
          <w:sz w:val="22"/>
          <w:szCs w:val="22"/>
        </w:rPr>
      </w:pPr>
      <w:r w:rsidRPr="0038749C">
        <w:rPr>
          <w:rFonts w:ascii="Calibri" w:hAnsi="Calibri"/>
          <w:b/>
          <w:bCs/>
          <w:color w:val="000000"/>
          <w:spacing w:val="-5"/>
          <w:sz w:val="22"/>
          <w:szCs w:val="22"/>
          <w:u w:val="single"/>
        </w:rPr>
        <w:t>140</w:t>
      </w:r>
      <w:r w:rsidRPr="0038749C">
        <w:rPr>
          <w:rFonts w:ascii="Calibri" w:hAnsi="Calibri"/>
          <w:b/>
          <w:bCs/>
          <w:color w:val="000000"/>
          <w:spacing w:val="-5"/>
          <w:sz w:val="22"/>
          <w:szCs w:val="22"/>
        </w:rPr>
        <w:t xml:space="preserve"> </w:t>
      </w:r>
      <w:r w:rsidRPr="0038749C">
        <w:rPr>
          <w:rFonts w:ascii="Calibri" w:hAnsi="Calibri"/>
          <w:color w:val="000000"/>
          <w:spacing w:val="-5"/>
          <w:sz w:val="22"/>
          <w:szCs w:val="22"/>
        </w:rPr>
        <w:t>per i fabbricati classificati nel gruppo catastale B e nelle categorie C/3, C/4 e C/5;</w:t>
      </w:r>
    </w:p>
    <w:p w:rsidR="00BF2AA3" w:rsidRPr="0038749C" w:rsidRDefault="004228CF" w:rsidP="004228CF">
      <w:pPr>
        <w:numPr>
          <w:ilvl w:val="0"/>
          <w:numId w:val="1"/>
        </w:numPr>
        <w:shd w:val="clear" w:color="auto" w:fill="FFFFFF"/>
        <w:tabs>
          <w:tab w:val="left" w:pos="918"/>
        </w:tabs>
        <w:spacing w:before="11" w:line="270" w:lineRule="exact"/>
        <w:ind w:left="641"/>
        <w:rPr>
          <w:rFonts w:ascii="Calibri" w:hAnsi="Calibri"/>
          <w:color w:val="000000"/>
          <w:sz w:val="22"/>
          <w:szCs w:val="22"/>
        </w:rPr>
      </w:pPr>
      <w:r w:rsidRPr="0038749C">
        <w:rPr>
          <w:rFonts w:ascii="Calibri" w:hAnsi="Calibri"/>
          <w:b/>
          <w:color w:val="000000"/>
          <w:spacing w:val="-5"/>
          <w:sz w:val="22"/>
          <w:szCs w:val="22"/>
          <w:u w:val="thick"/>
        </w:rPr>
        <w:t>80</w:t>
      </w:r>
      <w:r w:rsidRPr="0038749C">
        <w:rPr>
          <w:rFonts w:ascii="Calibri" w:hAnsi="Calibri"/>
          <w:color w:val="000000"/>
          <w:spacing w:val="-5"/>
          <w:sz w:val="22"/>
          <w:szCs w:val="22"/>
        </w:rPr>
        <w:t xml:space="preserve"> per i fabbricati classificati nella categorie catastali A/10 e D/5;</w:t>
      </w:r>
    </w:p>
    <w:p w:rsidR="00BF2AA3" w:rsidRPr="0038749C" w:rsidRDefault="004228CF" w:rsidP="00E225EF">
      <w:pPr>
        <w:numPr>
          <w:ilvl w:val="0"/>
          <w:numId w:val="1"/>
        </w:numPr>
        <w:shd w:val="clear" w:color="auto" w:fill="FFFFFF"/>
        <w:tabs>
          <w:tab w:val="left" w:pos="918"/>
        </w:tabs>
        <w:spacing w:before="11" w:line="270" w:lineRule="exact"/>
        <w:ind w:left="918" w:hanging="277"/>
        <w:jc w:val="both"/>
        <w:rPr>
          <w:rFonts w:ascii="Calibri" w:hAnsi="Calibri"/>
          <w:color w:val="000000"/>
          <w:sz w:val="22"/>
          <w:szCs w:val="22"/>
        </w:rPr>
      </w:pPr>
      <w:r w:rsidRPr="0038749C">
        <w:rPr>
          <w:rFonts w:ascii="Calibri" w:hAnsi="Calibri"/>
          <w:b/>
          <w:bCs/>
          <w:color w:val="000000"/>
          <w:spacing w:val="-2"/>
          <w:sz w:val="22"/>
          <w:szCs w:val="22"/>
          <w:u w:val="thick"/>
        </w:rPr>
        <w:t>65</w:t>
      </w:r>
      <w:r w:rsidRPr="0038749C">
        <w:rPr>
          <w:rFonts w:ascii="Calibri" w:hAnsi="Calibri"/>
          <w:b/>
          <w:bCs/>
          <w:color w:val="000000"/>
          <w:spacing w:val="-2"/>
          <w:sz w:val="22"/>
          <w:szCs w:val="22"/>
        </w:rPr>
        <w:t xml:space="preserve"> </w:t>
      </w:r>
      <w:r w:rsidRPr="0038749C">
        <w:rPr>
          <w:rFonts w:ascii="Calibri" w:hAnsi="Calibri"/>
          <w:color w:val="000000"/>
          <w:spacing w:val="-2"/>
          <w:sz w:val="22"/>
          <w:szCs w:val="22"/>
        </w:rPr>
        <w:t xml:space="preserve">per i fabbricati classificati nel gruppo catastale D, ad eccezione di quelli classificati </w:t>
      </w:r>
      <w:r w:rsidRPr="0038749C">
        <w:rPr>
          <w:rFonts w:ascii="Calibri" w:hAnsi="Calibri"/>
          <w:color w:val="000000"/>
          <w:sz w:val="22"/>
          <w:szCs w:val="22"/>
        </w:rPr>
        <w:t>nella categoria D/5;</w:t>
      </w:r>
    </w:p>
    <w:p w:rsidR="00BF2AA3" w:rsidRPr="0038749C" w:rsidRDefault="004228CF">
      <w:pPr>
        <w:shd w:val="clear" w:color="auto" w:fill="FFFFFF"/>
        <w:tabs>
          <w:tab w:val="left" w:pos="918"/>
        </w:tabs>
        <w:spacing w:before="11" w:line="270" w:lineRule="exact"/>
        <w:ind w:left="641" w:right="2678"/>
        <w:rPr>
          <w:rFonts w:ascii="Calibri" w:hAnsi="Calibri"/>
          <w:color w:val="000000"/>
          <w:sz w:val="22"/>
          <w:szCs w:val="22"/>
        </w:rPr>
      </w:pPr>
      <w:r w:rsidRPr="0038749C">
        <w:rPr>
          <w:rFonts w:ascii="Calibri" w:hAnsi="Calibri"/>
          <w:color w:val="000000"/>
          <w:sz w:val="22"/>
          <w:szCs w:val="22"/>
        </w:rPr>
        <w:t>-</w:t>
      </w:r>
      <w:r w:rsidRPr="0038749C">
        <w:rPr>
          <w:rFonts w:ascii="Calibri" w:hAnsi="Calibri"/>
          <w:color w:val="000000"/>
          <w:sz w:val="22"/>
          <w:szCs w:val="22"/>
        </w:rPr>
        <w:tab/>
      </w:r>
      <w:r w:rsidRPr="0038749C">
        <w:rPr>
          <w:rFonts w:ascii="Calibri" w:hAnsi="Calibri"/>
          <w:b/>
          <w:bCs/>
          <w:color w:val="000000"/>
          <w:spacing w:val="-6"/>
          <w:sz w:val="22"/>
          <w:szCs w:val="22"/>
          <w:u w:val="thick"/>
        </w:rPr>
        <w:t xml:space="preserve">55 </w:t>
      </w:r>
      <w:r w:rsidRPr="0038749C">
        <w:rPr>
          <w:rFonts w:ascii="Calibri" w:hAnsi="Calibri"/>
          <w:color w:val="000000"/>
          <w:spacing w:val="-6"/>
          <w:sz w:val="22"/>
          <w:szCs w:val="22"/>
        </w:rPr>
        <w:t>per i fabbricati classificati nella categoria catastale C/1 ;</w:t>
      </w:r>
      <w:r w:rsidRPr="0038749C">
        <w:rPr>
          <w:rFonts w:ascii="Calibri" w:hAnsi="Calibri"/>
          <w:color w:val="000000"/>
          <w:spacing w:val="-6"/>
          <w:sz w:val="22"/>
          <w:szCs w:val="22"/>
        </w:rPr>
        <w:br/>
      </w:r>
      <w:r w:rsidRPr="0038749C">
        <w:rPr>
          <w:rFonts w:ascii="Calibri" w:hAnsi="Calibri"/>
          <w:i/>
          <w:iCs/>
          <w:color w:val="000000"/>
          <w:spacing w:val="-5"/>
          <w:sz w:val="22"/>
          <w:szCs w:val="22"/>
          <w:u w:val="single"/>
        </w:rPr>
        <w:t>Esempio determinazione base imponibile fabbricati</w:t>
      </w:r>
      <w:r w:rsidRPr="0038749C">
        <w:rPr>
          <w:rFonts w:ascii="Calibri" w:hAnsi="Calibri"/>
          <w:i/>
          <w:iCs/>
          <w:color w:val="000000"/>
          <w:spacing w:val="-5"/>
          <w:sz w:val="22"/>
          <w:szCs w:val="22"/>
        </w:rPr>
        <w:t>:</w:t>
      </w:r>
      <w:r w:rsidRPr="0038749C">
        <w:rPr>
          <w:rFonts w:ascii="Calibri" w:hAnsi="Calibri"/>
          <w:i/>
          <w:iCs/>
          <w:color w:val="000000"/>
          <w:spacing w:val="-5"/>
          <w:sz w:val="22"/>
          <w:szCs w:val="22"/>
        </w:rPr>
        <w:br/>
      </w:r>
      <w:r w:rsidRPr="0038749C">
        <w:rPr>
          <w:rFonts w:ascii="Calibri" w:hAnsi="Calibri"/>
          <w:color w:val="000000"/>
          <w:sz w:val="22"/>
          <w:szCs w:val="22"/>
        </w:rPr>
        <w:t>Rendita catastale x 1,05 x Moltiplicatore</w:t>
      </w:r>
    </w:p>
    <w:p w:rsidR="00E225EF" w:rsidRDefault="00E225EF">
      <w:pPr>
        <w:shd w:val="clear" w:color="auto" w:fill="FFFFFF"/>
        <w:tabs>
          <w:tab w:val="left" w:pos="918"/>
        </w:tabs>
        <w:spacing w:before="11" w:line="270" w:lineRule="exact"/>
        <w:ind w:left="641" w:right="2678"/>
        <w:rPr>
          <w:rFonts w:ascii="Calibri" w:hAnsi="Calibri"/>
          <w:sz w:val="22"/>
          <w:szCs w:val="22"/>
        </w:rPr>
      </w:pPr>
    </w:p>
    <w:p w:rsidR="00443BB0" w:rsidRDefault="00443BB0">
      <w:pPr>
        <w:shd w:val="clear" w:color="auto" w:fill="FFFFFF"/>
        <w:tabs>
          <w:tab w:val="left" w:pos="918"/>
        </w:tabs>
        <w:spacing w:before="11" w:line="270" w:lineRule="exact"/>
        <w:ind w:left="641" w:right="2678"/>
        <w:rPr>
          <w:rFonts w:ascii="Calibri" w:hAnsi="Calibri"/>
          <w:sz w:val="22"/>
          <w:szCs w:val="22"/>
        </w:rPr>
      </w:pPr>
    </w:p>
    <w:p w:rsidR="00443BB0" w:rsidRPr="0038749C" w:rsidRDefault="00443BB0">
      <w:pPr>
        <w:shd w:val="clear" w:color="auto" w:fill="FFFFFF"/>
        <w:tabs>
          <w:tab w:val="left" w:pos="918"/>
        </w:tabs>
        <w:spacing w:before="11" w:line="270" w:lineRule="exact"/>
        <w:ind w:left="641" w:right="2678"/>
        <w:rPr>
          <w:rFonts w:ascii="Calibri" w:hAnsi="Calibri"/>
          <w:sz w:val="22"/>
          <w:szCs w:val="22"/>
        </w:rPr>
      </w:pPr>
    </w:p>
    <w:p w:rsidR="00E225EF" w:rsidRPr="0038749C" w:rsidRDefault="004228CF" w:rsidP="00E225EF">
      <w:pPr>
        <w:shd w:val="clear" w:color="auto" w:fill="FFFFFF"/>
        <w:tabs>
          <w:tab w:val="left" w:pos="648"/>
        </w:tabs>
        <w:spacing w:before="83" w:line="263" w:lineRule="exact"/>
        <w:ind w:left="648" w:right="7" w:hanging="266"/>
        <w:jc w:val="both"/>
        <w:rPr>
          <w:rFonts w:ascii="Calibri" w:hAnsi="Calibri"/>
          <w:sz w:val="22"/>
          <w:szCs w:val="22"/>
        </w:rPr>
      </w:pPr>
      <w:r w:rsidRPr="0038749C">
        <w:rPr>
          <w:color w:val="000000"/>
          <w:sz w:val="22"/>
          <w:szCs w:val="22"/>
        </w:rPr>
        <w:lastRenderedPageBreak/>
        <w:t>•</w:t>
      </w:r>
      <w:r w:rsidRPr="0038749C">
        <w:rPr>
          <w:color w:val="000000"/>
          <w:sz w:val="22"/>
          <w:szCs w:val="22"/>
        </w:rPr>
        <w:tab/>
      </w:r>
      <w:r w:rsidRPr="0038749C">
        <w:rPr>
          <w:rFonts w:ascii="Calibri" w:hAnsi="Calibri"/>
          <w:b/>
          <w:bCs/>
          <w:color w:val="000000"/>
          <w:spacing w:val="-2"/>
          <w:sz w:val="22"/>
          <w:szCs w:val="22"/>
          <w:u w:val="single"/>
        </w:rPr>
        <w:t>Terreni agricoli</w:t>
      </w:r>
      <w:r w:rsidRPr="0038749C">
        <w:rPr>
          <w:rFonts w:ascii="Calibri" w:hAnsi="Calibri"/>
          <w:b/>
          <w:bCs/>
          <w:color w:val="000000"/>
          <w:spacing w:val="-2"/>
          <w:sz w:val="22"/>
          <w:szCs w:val="22"/>
        </w:rPr>
        <w:t xml:space="preserve">: </w:t>
      </w:r>
      <w:r w:rsidR="00E225EF" w:rsidRPr="0038749C">
        <w:rPr>
          <w:rFonts w:ascii="Calibri" w:hAnsi="Calibri"/>
          <w:bCs/>
          <w:color w:val="000000"/>
          <w:spacing w:val="-2"/>
          <w:sz w:val="22"/>
          <w:szCs w:val="22"/>
        </w:rPr>
        <w:t>con decreto legge del 24 gennaio 2015, n. 4, Il Consiglio dei Ministri ha stabilito che i terreni agricoli, situati in Comuni classificati montani dall’Istat, siano esenti dal pagamento dell’IMU. Il Comune di Santo Stefano di Sessanio risulta classificato totalmente montano, pertanto il versamento dell’IMU sui terreni agricoli relativo all’anno 2015, non è dovuto.</w:t>
      </w:r>
    </w:p>
    <w:p w:rsidR="00BF2AA3" w:rsidRPr="0038749C" w:rsidRDefault="004228CF" w:rsidP="004228CF">
      <w:pPr>
        <w:numPr>
          <w:ilvl w:val="0"/>
          <w:numId w:val="2"/>
        </w:numPr>
        <w:shd w:val="clear" w:color="auto" w:fill="FFFFFF"/>
        <w:tabs>
          <w:tab w:val="left" w:pos="648"/>
        </w:tabs>
        <w:spacing w:before="86" w:line="263" w:lineRule="exact"/>
        <w:ind w:left="648" w:hanging="266"/>
        <w:jc w:val="both"/>
        <w:rPr>
          <w:rFonts w:ascii="Calibri" w:hAnsi="Calibri"/>
          <w:color w:val="000000"/>
          <w:sz w:val="22"/>
          <w:szCs w:val="22"/>
        </w:rPr>
      </w:pPr>
      <w:r w:rsidRPr="0038749C">
        <w:rPr>
          <w:rFonts w:ascii="Calibri" w:hAnsi="Calibri"/>
          <w:b/>
          <w:bCs/>
          <w:spacing w:val="-4"/>
          <w:sz w:val="22"/>
          <w:szCs w:val="22"/>
          <w:u w:val="single"/>
        </w:rPr>
        <w:t>Aree fabbricabili</w:t>
      </w:r>
      <w:r w:rsidRPr="0038749C">
        <w:rPr>
          <w:rFonts w:ascii="Calibri" w:hAnsi="Calibri"/>
          <w:b/>
          <w:bCs/>
          <w:color w:val="000000"/>
          <w:spacing w:val="-4"/>
          <w:sz w:val="22"/>
          <w:szCs w:val="22"/>
          <w:u w:val="single"/>
        </w:rPr>
        <w:t>:</w:t>
      </w:r>
      <w:r w:rsidRPr="0038749C">
        <w:rPr>
          <w:rFonts w:ascii="Calibri" w:hAnsi="Calibri"/>
          <w:b/>
          <w:bCs/>
          <w:color w:val="000000"/>
          <w:spacing w:val="-4"/>
          <w:sz w:val="22"/>
          <w:szCs w:val="22"/>
        </w:rPr>
        <w:t xml:space="preserve"> </w:t>
      </w:r>
      <w:r w:rsidR="0038749C" w:rsidRPr="0038749C">
        <w:rPr>
          <w:rFonts w:ascii="Calibri" w:hAnsi="Calibri"/>
          <w:color w:val="000000"/>
          <w:spacing w:val="-4"/>
          <w:sz w:val="22"/>
          <w:szCs w:val="22"/>
        </w:rPr>
        <w:t>con deliberazione di Consiglio Comunale n. 31 del 29.10.2012 il valore delle aree edificabili è st</w:t>
      </w:r>
      <w:r w:rsidR="00443BB0">
        <w:rPr>
          <w:rFonts w:ascii="Calibri" w:hAnsi="Calibri"/>
          <w:color w:val="000000"/>
          <w:spacing w:val="-4"/>
          <w:sz w:val="22"/>
          <w:szCs w:val="22"/>
        </w:rPr>
        <w:t xml:space="preserve">ato determinato nella misura di € </w:t>
      </w:r>
      <w:r w:rsidR="0038749C" w:rsidRPr="0038749C">
        <w:rPr>
          <w:rFonts w:ascii="Calibri" w:hAnsi="Calibri"/>
          <w:color w:val="000000"/>
          <w:spacing w:val="-4"/>
          <w:sz w:val="22"/>
          <w:szCs w:val="22"/>
        </w:rPr>
        <w:t>7,50 al mq.</w:t>
      </w:r>
    </w:p>
    <w:p w:rsidR="00BF2AA3" w:rsidRPr="0038749C" w:rsidRDefault="004228CF" w:rsidP="004228CF">
      <w:pPr>
        <w:numPr>
          <w:ilvl w:val="0"/>
          <w:numId w:val="2"/>
        </w:numPr>
        <w:shd w:val="clear" w:color="auto" w:fill="FFFFFF"/>
        <w:tabs>
          <w:tab w:val="left" w:pos="648"/>
        </w:tabs>
        <w:spacing w:before="83" w:line="266" w:lineRule="exact"/>
        <w:ind w:left="648" w:hanging="266"/>
        <w:jc w:val="both"/>
        <w:rPr>
          <w:rFonts w:ascii="Calibri" w:hAnsi="Calibri"/>
          <w:color w:val="000000"/>
          <w:sz w:val="22"/>
          <w:szCs w:val="22"/>
        </w:rPr>
      </w:pPr>
      <w:r w:rsidRPr="0038749C">
        <w:rPr>
          <w:rFonts w:ascii="Calibri" w:hAnsi="Calibri"/>
          <w:b/>
          <w:bCs/>
          <w:color w:val="000000"/>
          <w:spacing w:val="-4"/>
          <w:sz w:val="22"/>
          <w:szCs w:val="22"/>
          <w:u w:val="single"/>
        </w:rPr>
        <w:t>Fabbricati classificabili nel gruppo catastale D, non iscritti in catasto</w:t>
      </w:r>
      <w:r w:rsidRPr="0038749C">
        <w:rPr>
          <w:rFonts w:ascii="Calibri" w:hAnsi="Calibri"/>
          <w:b/>
          <w:bCs/>
          <w:color w:val="000000"/>
          <w:spacing w:val="-4"/>
          <w:sz w:val="22"/>
          <w:szCs w:val="22"/>
        </w:rPr>
        <w:t xml:space="preserve">, interamente </w:t>
      </w:r>
      <w:r w:rsidRPr="0038749C">
        <w:rPr>
          <w:rFonts w:ascii="Calibri" w:hAnsi="Calibri"/>
          <w:b/>
          <w:bCs/>
          <w:color w:val="000000"/>
          <w:spacing w:val="-5"/>
          <w:sz w:val="22"/>
          <w:szCs w:val="22"/>
        </w:rPr>
        <w:t xml:space="preserve">posseduti da imprese e distintamente contabilizzati: </w:t>
      </w:r>
      <w:r w:rsidRPr="0038749C">
        <w:rPr>
          <w:rFonts w:ascii="Calibri" w:hAnsi="Calibri"/>
          <w:color w:val="000000"/>
          <w:spacing w:val="-5"/>
          <w:sz w:val="22"/>
          <w:szCs w:val="22"/>
        </w:rPr>
        <w:t xml:space="preserve">il valore è determinato alla data di </w:t>
      </w:r>
      <w:r w:rsidRPr="0038749C">
        <w:rPr>
          <w:rFonts w:ascii="Calibri" w:hAnsi="Calibri"/>
          <w:color w:val="000000"/>
          <w:spacing w:val="-3"/>
          <w:sz w:val="22"/>
          <w:szCs w:val="22"/>
        </w:rPr>
        <w:t xml:space="preserve">inizio di ciascun anno solare ovvero, se successiva, a quella di acquisizione, secondo le </w:t>
      </w:r>
      <w:r w:rsidRPr="0038749C">
        <w:rPr>
          <w:rFonts w:ascii="Calibri" w:hAnsi="Calibri"/>
          <w:color w:val="000000"/>
          <w:sz w:val="22"/>
          <w:szCs w:val="22"/>
        </w:rPr>
        <w:t xml:space="preserve">modalità di cui all'art. 5, comma 3, </w:t>
      </w:r>
      <w:proofErr w:type="spellStart"/>
      <w:r w:rsidRPr="0038749C">
        <w:rPr>
          <w:rFonts w:ascii="Calibri" w:hAnsi="Calibri"/>
          <w:color w:val="000000"/>
          <w:sz w:val="22"/>
          <w:szCs w:val="22"/>
        </w:rPr>
        <w:t>D.Lgs.</w:t>
      </w:r>
      <w:proofErr w:type="spellEnd"/>
      <w:r w:rsidRPr="0038749C">
        <w:rPr>
          <w:rFonts w:ascii="Calibri" w:hAnsi="Calibri"/>
          <w:color w:val="000000"/>
          <w:sz w:val="22"/>
          <w:szCs w:val="22"/>
        </w:rPr>
        <w:t xml:space="preserve"> 504/1992 </w:t>
      </w:r>
      <w:proofErr w:type="spellStart"/>
      <w:r w:rsidRPr="0038749C">
        <w:rPr>
          <w:rFonts w:ascii="Calibri" w:hAnsi="Calibri"/>
          <w:color w:val="000000"/>
          <w:sz w:val="22"/>
          <w:szCs w:val="22"/>
        </w:rPr>
        <w:t>smi</w:t>
      </w:r>
      <w:proofErr w:type="spellEnd"/>
      <w:r w:rsidRPr="0038749C">
        <w:rPr>
          <w:rFonts w:ascii="Calibri" w:hAnsi="Calibri"/>
          <w:color w:val="000000"/>
          <w:sz w:val="22"/>
          <w:szCs w:val="22"/>
        </w:rPr>
        <w:t>;</w:t>
      </w:r>
    </w:p>
    <w:p w:rsidR="00BF2AA3" w:rsidRPr="0038749C" w:rsidRDefault="004228CF" w:rsidP="004228CF">
      <w:pPr>
        <w:numPr>
          <w:ilvl w:val="0"/>
          <w:numId w:val="2"/>
        </w:numPr>
        <w:shd w:val="clear" w:color="auto" w:fill="FFFFFF"/>
        <w:tabs>
          <w:tab w:val="left" w:pos="648"/>
        </w:tabs>
        <w:spacing w:before="11" w:line="266" w:lineRule="exact"/>
        <w:ind w:left="648" w:hanging="266"/>
        <w:jc w:val="both"/>
        <w:rPr>
          <w:rFonts w:ascii="Calibri" w:hAnsi="Calibri"/>
          <w:color w:val="000000"/>
          <w:sz w:val="22"/>
          <w:szCs w:val="22"/>
        </w:rPr>
      </w:pPr>
      <w:r w:rsidRPr="0038749C">
        <w:rPr>
          <w:rFonts w:ascii="Calibri" w:hAnsi="Calibri"/>
          <w:b/>
          <w:bCs/>
          <w:color w:val="000000"/>
          <w:spacing w:val="-3"/>
          <w:sz w:val="22"/>
          <w:szCs w:val="22"/>
          <w:u w:val="single"/>
        </w:rPr>
        <w:t>Fabbricati non censiti al catasto</w:t>
      </w:r>
      <w:r w:rsidRPr="0038749C">
        <w:rPr>
          <w:rFonts w:ascii="Calibri" w:hAnsi="Calibri"/>
          <w:b/>
          <w:bCs/>
          <w:color w:val="000000"/>
          <w:spacing w:val="-3"/>
          <w:sz w:val="22"/>
          <w:szCs w:val="22"/>
        </w:rPr>
        <w:t xml:space="preserve">: </w:t>
      </w:r>
      <w:r w:rsidRPr="0038749C">
        <w:rPr>
          <w:rFonts w:ascii="Calibri" w:hAnsi="Calibri"/>
          <w:color w:val="000000"/>
          <w:spacing w:val="-3"/>
          <w:sz w:val="22"/>
          <w:szCs w:val="22"/>
        </w:rPr>
        <w:t xml:space="preserve">la base imponibile è determinata con riferimento alla </w:t>
      </w:r>
      <w:r w:rsidRPr="0038749C">
        <w:rPr>
          <w:rFonts w:ascii="Calibri" w:hAnsi="Calibri"/>
          <w:color w:val="000000"/>
          <w:spacing w:val="-5"/>
          <w:sz w:val="22"/>
          <w:szCs w:val="22"/>
        </w:rPr>
        <w:t>rendita dei fabbricati similari già iscritti in catasto (Rendita presunta).</w:t>
      </w:r>
    </w:p>
    <w:p w:rsidR="00BF2AA3" w:rsidRPr="0038749C" w:rsidRDefault="004228CF">
      <w:pPr>
        <w:shd w:val="clear" w:color="auto" w:fill="FFFFFF"/>
        <w:spacing w:before="58"/>
        <w:ind w:left="389"/>
        <w:rPr>
          <w:rFonts w:ascii="Calibri" w:hAnsi="Calibri"/>
          <w:sz w:val="22"/>
          <w:szCs w:val="22"/>
        </w:rPr>
      </w:pPr>
      <w:r w:rsidRPr="0038749C">
        <w:rPr>
          <w:rFonts w:ascii="Calibri" w:hAnsi="Calibri"/>
          <w:color w:val="000000"/>
          <w:spacing w:val="-5"/>
          <w:sz w:val="22"/>
          <w:szCs w:val="22"/>
        </w:rPr>
        <w:t xml:space="preserve">La </w:t>
      </w:r>
      <w:r w:rsidRPr="0038749C">
        <w:rPr>
          <w:rFonts w:ascii="Calibri" w:hAnsi="Calibri"/>
          <w:b/>
          <w:bCs/>
          <w:color w:val="000000"/>
          <w:spacing w:val="-5"/>
          <w:sz w:val="22"/>
          <w:szCs w:val="22"/>
          <w:u w:val="single"/>
        </w:rPr>
        <w:t>base imponibile</w:t>
      </w:r>
      <w:r w:rsidRPr="0038749C">
        <w:rPr>
          <w:rFonts w:ascii="Calibri" w:hAnsi="Calibri"/>
          <w:b/>
          <w:bCs/>
          <w:color w:val="000000"/>
          <w:spacing w:val="-5"/>
          <w:sz w:val="22"/>
          <w:szCs w:val="22"/>
        </w:rPr>
        <w:t xml:space="preserve"> è </w:t>
      </w:r>
      <w:r w:rsidRPr="0038749C">
        <w:rPr>
          <w:rFonts w:ascii="Calibri" w:hAnsi="Calibri"/>
          <w:b/>
          <w:bCs/>
          <w:color w:val="000000"/>
          <w:spacing w:val="-5"/>
          <w:sz w:val="22"/>
          <w:szCs w:val="22"/>
          <w:u w:val="single"/>
        </w:rPr>
        <w:t>ridotta del 50 per cento</w:t>
      </w:r>
      <w:r w:rsidRPr="0038749C">
        <w:rPr>
          <w:rFonts w:ascii="Calibri" w:hAnsi="Calibri"/>
          <w:b/>
          <w:bCs/>
          <w:color w:val="000000"/>
          <w:spacing w:val="-5"/>
          <w:sz w:val="22"/>
          <w:szCs w:val="22"/>
        </w:rPr>
        <w:t xml:space="preserve"> </w:t>
      </w:r>
      <w:r w:rsidRPr="0038749C">
        <w:rPr>
          <w:rFonts w:ascii="Calibri" w:hAnsi="Calibri"/>
          <w:color w:val="000000"/>
          <w:spacing w:val="-5"/>
          <w:sz w:val="22"/>
          <w:szCs w:val="22"/>
        </w:rPr>
        <w:t>nelle seguenti ipotesi:</w:t>
      </w:r>
    </w:p>
    <w:p w:rsidR="00BF2AA3" w:rsidRPr="0038749C" w:rsidRDefault="004228CF" w:rsidP="004228CF">
      <w:pPr>
        <w:numPr>
          <w:ilvl w:val="0"/>
          <w:numId w:val="2"/>
        </w:numPr>
        <w:shd w:val="clear" w:color="auto" w:fill="FFFFFF"/>
        <w:tabs>
          <w:tab w:val="left" w:pos="648"/>
        </w:tabs>
        <w:spacing w:before="76"/>
        <w:ind w:left="382"/>
        <w:rPr>
          <w:rFonts w:ascii="Calibri" w:hAnsi="Calibri"/>
          <w:color w:val="000000"/>
          <w:sz w:val="22"/>
          <w:szCs w:val="22"/>
        </w:rPr>
      </w:pPr>
      <w:r w:rsidRPr="0038749C">
        <w:rPr>
          <w:rFonts w:ascii="Calibri" w:hAnsi="Calibri"/>
          <w:b/>
          <w:bCs/>
          <w:color w:val="000000"/>
          <w:spacing w:val="-4"/>
          <w:sz w:val="22"/>
          <w:szCs w:val="22"/>
        </w:rPr>
        <w:t xml:space="preserve">Fabbricati di interesse storico o artistico, </w:t>
      </w:r>
      <w:r w:rsidRPr="0038749C">
        <w:rPr>
          <w:rFonts w:ascii="Calibri" w:hAnsi="Calibri"/>
          <w:color w:val="000000"/>
          <w:spacing w:val="-4"/>
          <w:sz w:val="22"/>
          <w:szCs w:val="22"/>
        </w:rPr>
        <w:t xml:space="preserve">di cui all'art. 10, </w:t>
      </w:r>
      <w:proofErr w:type="spellStart"/>
      <w:r w:rsidRPr="0038749C">
        <w:rPr>
          <w:rFonts w:ascii="Calibri" w:hAnsi="Calibri"/>
          <w:color w:val="000000"/>
          <w:spacing w:val="-4"/>
          <w:sz w:val="22"/>
          <w:szCs w:val="22"/>
        </w:rPr>
        <w:t>D.Lgs.</w:t>
      </w:r>
      <w:proofErr w:type="spellEnd"/>
      <w:r w:rsidRPr="0038749C">
        <w:rPr>
          <w:rFonts w:ascii="Calibri" w:hAnsi="Calibri"/>
          <w:color w:val="000000"/>
          <w:spacing w:val="-4"/>
          <w:sz w:val="22"/>
          <w:szCs w:val="22"/>
        </w:rPr>
        <w:t xml:space="preserve"> 42/2004 </w:t>
      </w:r>
      <w:proofErr w:type="spellStart"/>
      <w:r w:rsidRPr="0038749C">
        <w:rPr>
          <w:rFonts w:ascii="Calibri" w:hAnsi="Calibri"/>
          <w:color w:val="000000"/>
          <w:spacing w:val="-4"/>
          <w:sz w:val="22"/>
          <w:szCs w:val="22"/>
        </w:rPr>
        <w:t>smi</w:t>
      </w:r>
      <w:proofErr w:type="spellEnd"/>
      <w:r w:rsidRPr="0038749C">
        <w:rPr>
          <w:rFonts w:ascii="Calibri" w:hAnsi="Calibri"/>
          <w:color w:val="000000"/>
          <w:spacing w:val="-4"/>
          <w:sz w:val="22"/>
          <w:szCs w:val="22"/>
        </w:rPr>
        <w:t>;</w:t>
      </w:r>
    </w:p>
    <w:p w:rsidR="007519FB" w:rsidRPr="0038749C" w:rsidRDefault="004228CF" w:rsidP="007519FB">
      <w:pPr>
        <w:numPr>
          <w:ilvl w:val="0"/>
          <w:numId w:val="2"/>
        </w:numPr>
        <w:shd w:val="clear" w:color="auto" w:fill="FFFFFF"/>
        <w:tabs>
          <w:tab w:val="left" w:pos="648"/>
        </w:tabs>
        <w:spacing w:before="14" w:line="259" w:lineRule="exact"/>
        <w:ind w:left="648" w:right="4" w:hanging="266"/>
        <w:jc w:val="both"/>
        <w:rPr>
          <w:sz w:val="22"/>
          <w:szCs w:val="22"/>
        </w:rPr>
      </w:pPr>
      <w:r w:rsidRPr="0038749C">
        <w:rPr>
          <w:rFonts w:ascii="Calibri" w:hAnsi="Calibri"/>
          <w:b/>
          <w:bCs/>
          <w:color w:val="000000"/>
          <w:spacing w:val="-2"/>
          <w:sz w:val="22"/>
          <w:szCs w:val="22"/>
        </w:rPr>
        <w:t>Fabbricati dichiarati inagibili o inabitabili e di fatto non utilizzati</w:t>
      </w:r>
      <w:r w:rsidR="00A63874">
        <w:rPr>
          <w:rFonts w:ascii="Calibri" w:hAnsi="Calibri"/>
          <w:b/>
          <w:bCs/>
          <w:color w:val="000000"/>
          <w:spacing w:val="-2"/>
          <w:sz w:val="22"/>
          <w:szCs w:val="22"/>
        </w:rPr>
        <w:t xml:space="preserve"> (CAUSE DIVERSE DAL SISMA 2009)</w:t>
      </w:r>
      <w:r w:rsidRPr="0038749C">
        <w:rPr>
          <w:rFonts w:ascii="Calibri" w:hAnsi="Calibri"/>
          <w:b/>
          <w:bCs/>
          <w:color w:val="000000"/>
          <w:spacing w:val="-2"/>
          <w:sz w:val="22"/>
          <w:szCs w:val="22"/>
        </w:rPr>
        <w:t xml:space="preserve">, </w:t>
      </w:r>
      <w:r w:rsidRPr="0038749C">
        <w:rPr>
          <w:rFonts w:ascii="Calibri" w:hAnsi="Calibri"/>
          <w:color w:val="000000"/>
          <w:spacing w:val="-2"/>
          <w:sz w:val="22"/>
          <w:szCs w:val="22"/>
        </w:rPr>
        <w:t xml:space="preserve">limitatamente al </w:t>
      </w:r>
      <w:r w:rsidRPr="0038749C">
        <w:rPr>
          <w:rFonts w:ascii="Calibri" w:hAnsi="Calibri"/>
          <w:color w:val="000000"/>
          <w:sz w:val="22"/>
          <w:szCs w:val="22"/>
        </w:rPr>
        <w:t>periodo dell'anno durante il quale sussistono dette condizioni.</w:t>
      </w:r>
    </w:p>
    <w:p w:rsidR="007519FB" w:rsidRPr="0038749C" w:rsidRDefault="007519FB" w:rsidP="007519FB">
      <w:pPr>
        <w:shd w:val="clear" w:color="auto" w:fill="FFFFFF"/>
        <w:tabs>
          <w:tab w:val="left" w:pos="648"/>
        </w:tabs>
        <w:spacing w:before="14" w:line="259" w:lineRule="exact"/>
        <w:ind w:left="648" w:right="4"/>
        <w:jc w:val="both"/>
        <w:rPr>
          <w:rFonts w:ascii="Calibri" w:hAnsi="Calibri"/>
          <w:b/>
          <w:bCs/>
          <w:color w:val="000000"/>
          <w:spacing w:val="-2"/>
          <w:sz w:val="22"/>
          <w:szCs w:val="22"/>
        </w:rPr>
      </w:pPr>
    </w:p>
    <w:p w:rsidR="00BF2AA3" w:rsidRPr="0038749C" w:rsidRDefault="004228CF" w:rsidP="007519FB">
      <w:pPr>
        <w:shd w:val="clear" w:color="auto" w:fill="FFFFFF"/>
        <w:tabs>
          <w:tab w:val="left" w:pos="648"/>
        </w:tabs>
        <w:spacing w:before="14" w:line="259" w:lineRule="exact"/>
        <w:ind w:left="648" w:right="4"/>
        <w:jc w:val="both"/>
        <w:rPr>
          <w:rFonts w:ascii="Calibri" w:hAnsi="Calibri"/>
          <w:color w:val="000000"/>
          <w:sz w:val="22"/>
          <w:szCs w:val="22"/>
          <w:u w:val="single"/>
        </w:rPr>
      </w:pPr>
      <w:r w:rsidRPr="0038749C">
        <w:rPr>
          <w:rFonts w:ascii="Calibri" w:hAnsi="Calibri"/>
          <w:color w:val="000000"/>
          <w:sz w:val="22"/>
          <w:szCs w:val="22"/>
        </w:rPr>
        <w:t xml:space="preserve">Si rammenta in merito che, in base alle previsioni di cui all'art. 4, comma 5-octies, del D.L. 16/2012, convertito con modificazioni con Legge n. 44/2012, </w:t>
      </w:r>
      <w:r w:rsidRPr="0038749C">
        <w:rPr>
          <w:rFonts w:ascii="Calibri" w:hAnsi="Calibri"/>
          <w:b/>
          <w:bCs/>
          <w:color w:val="000000"/>
          <w:sz w:val="22"/>
          <w:szCs w:val="22"/>
          <w:u w:val="single"/>
        </w:rPr>
        <w:t>i fabbricati</w:t>
      </w:r>
      <w:r w:rsidRPr="0038749C">
        <w:rPr>
          <w:rFonts w:ascii="Calibri" w:hAnsi="Calibri"/>
          <w:b/>
          <w:bCs/>
          <w:color w:val="000000"/>
          <w:sz w:val="22"/>
          <w:szCs w:val="22"/>
        </w:rPr>
        <w:t xml:space="preserve"> </w:t>
      </w:r>
      <w:r w:rsidRPr="0038749C">
        <w:rPr>
          <w:rFonts w:ascii="Calibri" w:hAnsi="Calibri"/>
          <w:color w:val="000000"/>
          <w:sz w:val="22"/>
          <w:szCs w:val="22"/>
        </w:rPr>
        <w:t xml:space="preserve">ubicati nelle zone </w:t>
      </w:r>
      <w:r w:rsidRPr="00A63874">
        <w:rPr>
          <w:rFonts w:ascii="Calibri" w:hAnsi="Calibri"/>
          <w:b/>
          <w:color w:val="000000"/>
          <w:sz w:val="22"/>
          <w:szCs w:val="22"/>
          <w:u w:val="single"/>
        </w:rPr>
        <w:t>colpite dal sisma del 6 aprile 2009</w:t>
      </w:r>
      <w:r w:rsidRPr="0038749C">
        <w:rPr>
          <w:rFonts w:ascii="Calibri" w:hAnsi="Calibri"/>
          <w:color w:val="000000"/>
          <w:sz w:val="22"/>
          <w:szCs w:val="22"/>
        </w:rPr>
        <w:t xml:space="preserve">, purché distrutti od oggetto di ordinanze sindacali di sgombero in quanto </w:t>
      </w:r>
      <w:r w:rsidRPr="0038749C">
        <w:rPr>
          <w:rFonts w:ascii="Calibri" w:hAnsi="Calibri"/>
          <w:b/>
          <w:bCs/>
          <w:color w:val="000000"/>
          <w:sz w:val="22"/>
          <w:szCs w:val="22"/>
          <w:u w:val="single"/>
        </w:rPr>
        <w:t xml:space="preserve">inagibili, sono esenti dall'applicazione dell'Imposta Municipale Propria </w:t>
      </w:r>
      <w:r w:rsidRPr="0038749C">
        <w:rPr>
          <w:rFonts w:ascii="Calibri" w:hAnsi="Calibri"/>
          <w:color w:val="000000"/>
          <w:sz w:val="22"/>
          <w:szCs w:val="22"/>
          <w:u w:val="single"/>
        </w:rPr>
        <w:t>fino alla definitiva ricostruzione ed all'agibilità dei fabbricati stessi.</w:t>
      </w:r>
      <w:r w:rsidRPr="0038749C">
        <w:rPr>
          <w:rFonts w:ascii="Calibri" w:hAnsi="Calibri"/>
          <w:color w:val="000000"/>
          <w:sz w:val="22"/>
          <w:szCs w:val="22"/>
        </w:rPr>
        <w:t xml:space="preserve"> Inoltre, a mente di quanto stabilito dal comma 448, della Legge 190/2014, con decorrenza dall'esercizio 2015 </w:t>
      </w:r>
      <w:r w:rsidRPr="0038749C">
        <w:rPr>
          <w:rFonts w:ascii="Calibri" w:hAnsi="Calibri"/>
          <w:b/>
          <w:bCs/>
          <w:color w:val="000000"/>
          <w:sz w:val="22"/>
          <w:szCs w:val="22"/>
          <w:u w:val="single"/>
        </w:rPr>
        <w:t>sono parimenti esenti dall'applicazione della TASI</w:t>
      </w:r>
      <w:r w:rsidRPr="0038749C">
        <w:rPr>
          <w:rFonts w:ascii="Calibri" w:hAnsi="Calibri"/>
          <w:b/>
          <w:bCs/>
          <w:color w:val="000000"/>
          <w:sz w:val="22"/>
          <w:szCs w:val="22"/>
        </w:rPr>
        <w:t xml:space="preserve"> </w:t>
      </w:r>
      <w:r w:rsidRPr="0038749C">
        <w:rPr>
          <w:rFonts w:ascii="Calibri" w:hAnsi="Calibri"/>
          <w:color w:val="000000"/>
          <w:sz w:val="22"/>
          <w:szCs w:val="22"/>
        </w:rPr>
        <w:t xml:space="preserve">di cui all'art. 1, commi 639 e ss, Legge 147/2013, </w:t>
      </w:r>
      <w:r w:rsidRPr="0038749C">
        <w:rPr>
          <w:rFonts w:ascii="Calibri" w:hAnsi="Calibri"/>
          <w:b/>
          <w:bCs/>
          <w:color w:val="000000"/>
          <w:sz w:val="22"/>
          <w:szCs w:val="22"/>
          <w:u w:val="single"/>
        </w:rPr>
        <w:t>i fabbricati,</w:t>
      </w:r>
      <w:r w:rsidRPr="0038749C">
        <w:rPr>
          <w:rFonts w:ascii="Calibri" w:hAnsi="Calibri"/>
          <w:b/>
          <w:bCs/>
          <w:color w:val="000000"/>
          <w:sz w:val="22"/>
          <w:szCs w:val="22"/>
        </w:rPr>
        <w:t xml:space="preserve"> </w:t>
      </w:r>
      <w:r w:rsidRPr="0038749C">
        <w:rPr>
          <w:rFonts w:ascii="Calibri" w:hAnsi="Calibri"/>
          <w:color w:val="000000"/>
          <w:sz w:val="22"/>
          <w:szCs w:val="22"/>
        </w:rPr>
        <w:t xml:space="preserve">ubicati nelle zone colpite dal sisma, purché distrutti od oggetto di ordinanze sindacali di sgombero in quanto </w:t>
      </w:r>
      <w:r w:rsidRPr="0038749C">
        <w:rPr>
          <w:rFonts w:ascii="Calibri" w:hAnsi="Calibri"/>
          <w:b/>
          <w:bCs/>
          <w:color w:val="000000"/>
          <w:sz w:val="22"/>
          <w:szCs w:val="22"/>
          <w:u w:val="single"/>
        </w:rPr>
        <w:t xml:space="preserve">inagibili </w:t>
      </w:r>
      <w:r w:rsidRPr="0038749C">
        <w:rPr>
          <w:rFonts w:ascii="Calibri" w:hAnsi="Calibri"/>
          <w:color w:val="000000"/>
          <w:sz w:val="22"/>
          <w:szCs w:val="22"/>
          <w:u w:val="single"/>
        </w:rPr>
        <w:t>e ciò sino alla definitiva ricostruzione ed all'agibilità dei fabbricati stessi.</w:t>
      </w:r>
    </w:p>
    <w:p w:rsidR="007519FB" w:rsidRPr="0038749C" w:rsidRDefault="007519FB" w:rsidP="007519FB">
      <w:pPr>
        <w:shd w:val="clear" w:color="auto" w:fill="FFFFFF"/>
        <w:tabs>
          <w:tab w:val="left" w:pos="648"/>
        </w:tabs>
        <w:spacing w:before="14" w:line="259" w:lineRule="exact"/>
        <w:ind w:left="648" w:right="4"/>
        <w:jc w:val="both"/>
        <w:rPr>
          <w:rFonts w:ascii="Calibri" w:hAnsi="Calibri"/>
          <w:sz w:val="22"/>
          <w:szCs w:val="22"/>
        </w:rPr>
      </w:pPr>
    </w:p>
    <w:p w:rsidR="00BF2AA3" w:rsidRPr="0038749C" w:rsidRDefault="004228CF">
      <w:pPr>
        <w:shd w:val="clear" w:color="auto" w:fill="FFFFFF"/>
        <w:spacing w:before="11" w:line="259" w:lineRule="exact"/>
        <w:ind w:left="374" w:right="4"/>
        <w:jc w:val="both"/>
        <w:rPr>
          <w:rFonts w:ascii="Calibri" w:hAnsi="Calibri"/>
          <w:sz w:val="22"/>
          <w:szCs w:val="22"/>
        </w:rPr>
      </w:pPr>
      <w:r w:rsidRPr="0038749C">
        <w:rPr>
          <w:rFonts w:ascii="Calibri" w:hAnsi="Calibri"/>
          <w:b/>
          <w:bCs/>
          <w:color w:val="000000"/>
          <w:sz w:val="22"/>
          <w:szCs w:val="22"/>
          <w:u w:val="single"/>
        </w:rPr>
        <w:t xml:space="preserve">Per i fabbricati che hanno </w:t>
      </w:r>
      <w:proofErr w:type="spellStart"/>
      <w:r w:rsidRPr="0038749C">
        <w:rPr>
          <w:rFonts w:ascii="Calibri" w:hAnsi="Calibri"/>
          <w:b/>
          <w:bCs/>
          <w:color w:val="000000"/>
          <w:sz w:val="22"/>
          <w:szCs w:val="22"/>
          <w:u w:val="single"/>
        </w:rPr>
        <w:t>riconseguito</w:t>
      </w:r>
      <w:proofErr w:type="spellEnd"/>
      <w:r w:rsidRPr="0038749C">
        <w:rPr>
          <w:rFonts w:ascii="Calibri" w:hAnsi="Calibri"/>
          <w:b/>
          <w:bCs/>
          <w:color w:val="000000"/>
          <w:sz w:val="22"/>
          <w:szCs w:val="22"/>
          <w:u w:val="single"/>
        </w:rPr>
        <w:t xml:space="preserve"> l'agibilità sismica </w:t>
      </w:r>
      <w:r w:rsidR="00EA3BD7" w:rsidRPr="0038749C">
        <w:rPr>
          <w:rFonts w:ascii="Calibri" w:hAnsi="Calibri"/>
          <w:b/>
          <w:bCs/>
          <w:color w:val="000000"/>
          <w:sz w:val="22"/>
          <w:szCs w:val="22"/>
          <w:u w:val="single"/>
        </w:rPr>
        <w:t>nel corso dell'esercizio 2015, l’</w:t>
      </w:r>
      <w:r w:rsidRPr="0038749C">
        <w:rPr>
          <w:rFonts w:ascii="Calibri" w:hAnsi="Calibri"/>
          <w:b/>
          <w:bCs/>
          <w:color w:val="000000"/>
          <w:sz w:val="22"/>
          <w:szCs w:val="22"/>
          <w:u w:val="single"/>
        </w:rPr>
        <w:t>IMU e la TASI sono dovute per il periodo successivo alla data di fine lavori ovvero a quella di agibilità in corso d'opera, se antecedente</w:t>
      </w:r>
      <w:r w:rsidRPr="0038749C">
        <w:rPr>
          <w:rFonts w:ascii="Calibri" w:hAnsi="Calibri"/>
          <w:b/>
          <w:bCs/>
          <w:color w:val="000000"/>
          <w:sz w:val="22"/>
          <w:szCs w:val="22"/>
        </w:rPr>
        <w:t>.</w:t>
      </w:r>
    </w:p>
    <w:p w:rsidR="00BF2AA3" w:rsidRPr="0038749C" w:rsidRDefault="004228CF">
      <w:pPr>
        <w:shd w:val="clear" w:color="auto" w:fill="FFFFFF"/>
        <w:spacing w:before="209" w:after="274" w:line="266" w:lineRule="exact"/>
        <w:ind w:left="382" w:hanging="342"/>
        <w:jc w:val="both"/>
        <w:rPr>
          <w:sz w:val="22"/>
          <w:szCs w:val="22"/>
        </w:rPr>
      </w:pPr>
      <w:r w:rsidRPr="0038749C">
        <w:rPr>
          <w:bCs/>
          <w:color w:val="000000"/>
          <w:sz w:val="22"/>
          <w:szCs w:val="22"/>
        </w:rPr>
        <w:t>C</w:t>
      </w:r>
      <w:r w:rsidRPr="0038749C">
        <w:rPr>
          <w:b/>
          <w:bCs/>
          <w:color w:val="000000"/>
          <w:sz w:val="22"/>
          <w:szCs w:val="22"/>
        </w:rPr>
        <w:t xml:space="preserve">. Il versamento degli acconti, pari come suesposto al 50% di IMU e TASI, </w:t>
      </w:r>
      <w:r w:rsidRPr="0038749C">
        <w:rPr>
          <w:color w:val="000000"/>
          <w:sz w:val="22"/>
          <w:szCs w:val="22"/>
        </w:rPr>
        <w:t xml:space="preserve">quantificati secondo i sopra riportati criteri di calcolo, </w:t>
      </w:r>
      <w:r w:rsidRPr="0038749C">
        <w:rPr>
          <w:b/>
          <w:bCs/>
          <w:color w:val="000000"/>
          <w:sz w:val="22"/>
          <w:szCs w:val="22"/>
        </w:rPr>
        <w:t xml:space="preserve">può essere eseguito a mezzo di modello F24, </w:t>
      </w:r>
      <w:r w:rsidRPr="0038749C">
        <w:rPr>
          <w:color w:val="000000"/>
          <w:sz w:val="22"/>
          <w:szCs w:val="22"/>
        </w:rPr>
        <w:t xml:space="preserve">utilizzando il </w:t>
      </w:r>
      <w:r w:rsidRPr="0038749C">
        <w:rPr>
          <w:b/>
          <w:bCs/>
          <w:color w:val="000000"/>
          <w:sz w:val="22"/>
          <w:szCs w:val="22"/>
        </w:rPr>
        <w:t xml:space="preserve">codice catastale </w:t>
      </w:r>
      <w:r w:rsidR="00EA3BD7" w:rsidRPr="0038749C">
        <w:rPr>
          <w:color w:val="000000"/>
          <w:sz w:val="22"/>
          <w:szCs w:val="22"/>
        </w:rPr>
        <w:t>del Comune di Santo Stefano di Sessanio</w:t>
      </w:r>
      <w:r w:rsidRPr="0038749C">
        <w:rPr>
          <w:color w:val="000000"/>
          <w:sz w:val="22"/>
          <w:szCs w:val="22"/>
        </w:rPr>
        <w:t xml:space="preserve"> </w:t>
      </w:r>
      <w:r w:rsidR="00910017" w:rsidRPr="0038749C">
        <w:rPr>
          <w:b/>
          <w:bCs/>
          <w:color w:val="000000"/>
          <w:sz w:val="22"/>
          <w:szCs w:val="22"/>
        </w:rPr>
        <w:t>I360</w:t>
      </w:r>
      <w:r w:rsidRPr="0038749C">
        <w:rPr>
          <w:b/>
          <w:bCs/>
          <w:color w:val="000000"/>
          <w:sz w:val="22"/>
          <w:szCs w:val="22"/>
        </w:rPr>
        <w:t xml:space="preserve">, </w:t>
      </w:r>
      <w:r w:rsidRPr="0038749C">
        <w:rPr>
          <w:color w:val="000000"/>
          <w:sz w:val="22"/>
          <w:szCs w:val="22"/>
        </w:rPr>
        <w:t xml:space="preserve">ed i seguenti </w:t>
      </w:r>
      <w:r w:rsidRPr="0038749C">
        <w:rPr>
          <w:b/>
          <w:bCs/>
          <w:color w:val="000000"/>
          <w:sz w:val="22"/>
          <w:szCs w:val="22"/>
        </w:rPr>
        <w:t>codici tributo:</w:t>
      </w:r>
    </w:p>
    <w:p w:rsidR="0038749C" w:rsidRPr="0038749C" w:rsidRDefault="0038749C" w:rsidP="0038749C">
      <w:pPr>
        <w:shd w:val="clear" w:color="auto" w:fill="FFFFFF"/>
        <w:spacing w:before="209" w:after="274" w:line="266" w:lineRule="exact"/>
        <w:jc w:val="both"/>
        <w:rPr>
          <w:sz w:val="22"/>
          <w:szCs w:val="22"/>
        </w:rPr>
        <w:sectPr w:rsidR="0038749C" w:rsidRPr="0038749C">
          <w:pgSz w:w="11909" w:h="16834"/>
          <w:pgMar w:top="360" w:right="1440" w:bottom="360" w:left="1332" w:header="720" w:footer="720" w:gutter="0"/>
          <w:cols w:space="60"/>
          <w:noEndnote/>
        </w:sectPr>
      </w:pPr>
    </w:p>
    <w:p w:rsidR="00BF2AA3" w:rsidRPr="0038749C" w:rsidRDefault="004228CF">
      <w:pPr>
        <w:shd w:val="clear" w:color="auto" w:fill="FFFFFF"/>
        <w:spacing w:before="7"/>
        <w:ind w:left="4"/>
        <w:rPr>
          <w:sz w:val="22"/>
          <w:szCs w:val="22"/>
        </w:rPr>
      </w:pPr>
      <w:r w:rsidRPr="0038749C">
        <w:rPr>
          <w:b/>
          <w:bCs/>
          <w:color w:val="000000"/>
          <w:spacing w:val="-1"/>
          <w:sz w:val="22"/>
          <w:szCs w:val="22"/>
        </w:rPr>
        <w:lastRenderedPageBreak/>
        <w:t>3912</w:t>
      </w:r>
    </w:p>
    <w:p w:rsidR="00BF2AA3" w:rsidRPr="0038749C" w:rsidRDefault="004228CF">
      <w:pPr>
        <w:shd w:val="clear" w:color="auto" w:fill="FFFFFF"/>
        <w:spacing w:before="18"/>
        <w:ind w:left="4"/>
        <w:rPr>
          <w:sz w:val="22"/>
          <w:szCs w:val="22"/>
        </w:rPr>
      </w:pPr>
      <w:r w:rsidRPr="0038749C">
        <w:rPr>
          <w:b/>
          <w:bCs/>
          <w:color w:val="000000"/>
          <w:sz w:val="22"/>
          <w:szCs w:val="22"/>
        </w:rPr>
        <w:t>3913</w:t>
      </w:r>
    </w:p>
    <w:p w:rsidR="00BF2AA3" w:rsidRPr="0038749C" w:rsidRDefault="004228CF">
      <w:pPr>
        <w:shd w:val="clear" w:color="auto" w:fill="FFFFFF"/>
        <w:spacing w:before="7"/>
        <w:ind w:left="7"/>
        <w:rPr>
          <w:sz w:val="22"/>
          <w:szCs w:val="22"/>
        </w:rPr>
      </w:pPr>
      <w:r w:rsidRPr="0038749C">
        <w:rPr>
          <w:b/>
          <w:bCs/>
          <w:color w:val="000000"/>
          <w:spacing w:val="-1"/>
          <w:sz w:val="22"/>
          <w:szCs w:val="22"/>
        </w:rPr>
        <w:t>3914</w:t>
      </w:r>
    </w:p>
    <w:p w:rsidR="00BF2AA3" w:rsidRPr="0038749C" w:rsidRDefault="004228CF">
      <w:pPr>
        <w:shd w:val="clear" w:color="auto" w:fill="FFFFFF"/>
        <w:spacing w:before="18"/>
        <w:ind w:left="7"/>
        <w:rPr>
          <w:sz w:val="22"/>
          <w:szCs w:val="22"/>
        </w:rPr>
      </w:pPr>
      <w:r w:rsidRPr="0038749C">
        <w:rPr>
          <w:b/>
          <w:bCs/>
          <w:color w:val="000000"/>
          <w:sz w:val="22"/>
          <w:szCs w:val="22"/>
        </w:rPr>
        <w:t>3916</w:t>
      </w:r>
    </w:p>
    <w:p w:rsidR="00BF2AA3" w:rsidRPr="0038749C" w:rsidRDefault="004228CF">
      <w:pPr>
        <w:shd w:val="clear" w:color="auto" w:fill="FFFFFF"/>
        <w:spacing w:before="18"/>
        <w:ind w:left="4"/>
        <w:rPr>
          <w:sz w:val="22"/>
          <w:szCs w:val="22"/>
        </w:rPr>
      </w:pPr>
      <w:r w:rsidRPr="0038749C">
        <w:rPr>
          <w:b/>
          <w:bCs/>
          <w:color w:val="000000"/>
          <w:sz w:val="22"/>
          <w:szCs w:val="22"/>
        </w:rPr>
        <w:t>3918</w:t>
      </w:r>
    </w:p>
    <w:p w:rsidR="00BF2AA3" w:rsidRPr="0038749C" w:rsidRDefault="004228CF">
      <w:pPr>
        <w:shd w:val="clear" w:color="auto" w:fill="FFFFFF"/>
        <w:spacing w:before="14"/>
        <w:ind w:left="4"/>
        <w:rPr>
          <w:sz w:val="22"/>
          <w:szCs w:val="22"/>
        </w:rPr>
      </w:pPr>
      <w:r w:rsidRPr="0038749C">
        <w:rPr>
          <w:b/>
          <w:bCs/>
          <w:color w:val="000000"/>
          <w:sz w:val="22"/>
          <w:szCs w:val="22"/>
        </w:rPr>
        <w:t>3925</w:t>
      </w:r>
    </w:p>
    <w:p w:rsidR="00BF2AA3" w:rsidRPr="0038749C" w:rsidRDefault="004228CF">
      <w:pPr>
        <w:shd w:val="clear" w:color="auto" w:fill="FFFFFF"/>
        <w:spacing w:before="14"/>
        <w:rPr>
          <w:sz w:val="22"/>
          <w:szCs w:val="22"/>
        </w:rPr>
      </w:pPr>
      <w:r w:rsidRPr="0038749C">
        <w:rPr>
          <w:b/>
          <w:bCs/>
          <w:color w:val="000000"/>
          <w:sz w:val="22"/>
          <w:szCs w:val="22"/>
        </w:rPr>
        <w:t>3930</w:t>
      </w:r>
    </w:p>
    <w:p w:rsidR="00BF2AA3" w:rsidRPr="0038749C" w:rsidRDefault="004228CF">
      <w:pPr>
        <w:shd w:val="clear" w:color="auto" w:fill="FFFFFF"/>
        <w:spacing w:before="14"/>
        <w:ind w:left="4"/>
        <w:rPr>
          <w:sz w:val="22"/>
          <w:szCs w:val="22"/>
        </w:rPr>
      </w:pPr>
      <w:r w:rsidRPr="0038749C">
        <w:rPr>
          <w:b/>
          <w:bCs/>
          <w:color w:val="000000"/>
          <w:sz w:val="22"/>
          <w:szCs w:val="22"/>
        </w:rPr>
        <w:t>3958</w:t>
      </w:r>
    </w:p>
    <w:p w:rsidR="00BF2AA3" w:rsidRPr="0038749C" w:rsidRDefault="004228CF">
      <w:pPr>
        <w:shd w:val="clear" w:color="auto" w:fill="FFFFFF"/>
        <w:spacing w:before="14"/>
        <w:ind w:left="7"/>
        <w:rPr>
          <w:sz w:val="22"/>
          <w:szCs w:val="22"/>
        </w:rPr>
      </w:pPr>
      <w:r w:rsidRPr="0038749C">
        <w:rPr>
          <w:b/>
          <w:bCs/>
          <w:color w:val="000000"/>
          <w:sz w:val="22"/>
          <w:szCs w:val="22"/>
        </w:rPr>
        <w:t>3959</w:t>
      </w:r>
    </w:p>
    <w:p w:rsidR="00BF2AA3" w:rsidRPr="0038749C" w:rsidRDefault="004228CF">
      <w:pPr>
        <w:shd w:val="clear" w:color="auto" w:fill="FFFFFF"/>
        <w:spacing w:before="22"/>
        <w:ind w:left="7"/>
        <w:rPr>
          <w:sz w:val="22"/>
          <w:szCs w:val="22"/>
        </w:rPr>
      </w:pPr>
      <w:r w:rsidRPr="0038749C">
        <w:rPr>
          <w:b/>
          <w:bCs/>
          <w:color w:val="000000"/>
          <w:sz w:val="22"/>
          <w:szCs w:val="22"/>
        </w:rPr>
        <w:t>3960</w:t>
      </w:r>
    </w:p>
    <w:p w:rsidR="00BF2AA3" w:rsidRPr="0038749C" w:rsidRDefault="004228CF">
      <w:pPr>
        <w:shd w:val="clear" w:color="auto" w:fill="FFFFFF"/>
        <w:spacing w:before="14"/>
        <w:ind w:left="11"/>
        <w:rPr>
          <w:sz w:val="22"/>
          <w:szCs w:val="22"/>
        </w:rPr>
      </w:pPr>
      <w:r w:rsidRPr="0038749C">
        <w:rPr>
          <w:b/>
          <w:bCs/>
          <w:color w:val="000000"/>
          <w:spacing w:val="-3"/>
          <w:sz w:val="22"/>
          <w:szCs w:val="22"/>
        </w:rPr>
        <w:t>3961</w:t>
      </w:r>
    </w:p>
    <w:p w:rsidR="00BF2AA3" w:rsidRPr="0038749C" w:rsidRDefault="004228CF">
      <w:pPr>
        <w:shd w:val="clear" w:color="auto" w:fill="FFFFFF"/>
        <w:rPr>
          <w:sz w:val="22"/>
          <w:szCs w:val="22"/>
          <w:u w:val="single"/>
        </w:rPr>
      </w:pPr>
      <w:r w:rsidRPr="0038749C">
        <w:rPr>
          <w:sz w:val="22"/>
          <w:szCs w:val="22"/>
        </w:rPr>
        <w:br w:type="column"/>
      </w:r>
      <w:r w:rsidRPr="0038749C">
        <w:rPr>
          <w:b/>
          <w:bCs/>
          <w:color w:val="000000"/>
          <w:spacing w:val="-6"/>
          <w:sz w:val="22"/>
          <w:szCs w:val="22"/>
          <w:u w:val="single"/>
        </w:rPr>
        <w:lastRenderedPageBreak/>
        <w:t xml:space="preserve">IMU </w:t>
      </w:r>
      <w:r w:rsidRPr="0038749C">
        <w:rPr>
          <w:color w:val="000000"/>
          <w:spacing w:val="-6"/>
          <w:sz w:val="22"/>
          <w:szCs w:val="22"/>
          <w:u w:val="single"/>
        </w:rPr>
        <w:t>- Abitazione principale e relative pertinenze (Comune)</w:t>
      </w:r>
    </w:p>
    <w:p w:rsidR="00BF2AA3" w:rsidRPr="0038749C" w:rsidRDefault="004228CF">
      <w:pPr>
        <w:shd w:val="clear" w:color="auto" w:fill="FFFFFF"/>
        <w:spacing w:before="14"/>
        <w:ind w:left="4"/>
        <w:rPr>
          <w:sz w:val="22"/>
          <w:szCs w:val="22"/>
          <w:u w:val="single"/>
        </w:rPr>
      </w:pPr>
      <w:r w:rsidRPr="0038749C">
        <w:rPr>
          <w:b/>
          <w:bCs/>
          <w:color w:val="000000"/>
          <w:spacing w:val="-6"/>
          <w:sz w:val="22"/>
          <w:szCs w:val="22"/>
          <w:u w:val="single"/>
        </w:rPr>
        <w:t xml:space="preserve">IMU </w:t>
      </w:r>
      <w:r w:rsidRPr="0038749C">
        <w:rPr>
          <w:color w:val="000000"/>
          <w:spacing w:val="-6"/>
          <w:sz w:val="22"/>
          <w:szCs w:val="22"/>
          <w:u w:val="single"/>
        </w:rPr>
        <w:t>- Fabbricati rurali ad uso strumentale (Comune)</w:t>
      </w:r>
    </w:p>
    <w:p w:rsidR="00BF2AA3" w:rsidRPr="0038749C" w:rsidRDefault="004228CF">
      <w:pPr>
        <w:shd w:val="clear" w:color="auto" w:fill="FFFFFF"/>
        <w:spacing w:before="11"/>
        <w:ind w:left="4"/>
        <w:rPr>
          <w:sz w:val="22"/>
          <w:szCs w:val="22"/>
          <w:u w:val="single"/>
        </w:rPr>
      </w:pPr>
      <w:r w:rsidRPr="0038749C">
        <w:rPr>
          <w:b/>
          <w:bCs/>
          <w:color w:val="000000"/>
          <w:spacing w:val="-6"/>
          <w:sz w:val="22"/>
          <w:szCs w:val="22"/>
          <w:u w:val="single"/>
        </w:rPr>
        <w:t xml:space="preserve">IMU </w:t>
      </w:r>
      <w:r w:rsidRPr="0038749C">
        <w:rPr>
          <w:color w:val="000000"/>
          <w:spacing w:val="-6"/>
          <w:sz w:val="22"/>
          <w:szCs w:val="22"/>
          <w:u w:val="single"/>
        </w:rPr>
        <w:t>- Terreni (Comune)</w:t>
      </w:r>
    </w:p>
    <w:p w:rsidR="00BF2AA3" w:rsidRPr="0038749C" w:rsidRDefault="004228CF">
      <w:pPr>
        <w:shd w:val="clear" w:color="auto" w:fill="FFFFFF"/>
        <w:spacing w:before="18"/>
        <w:ind w:left="4"/>
        <w:rPr>
          <w:sz w:val="22"/>
          <w:szCs w:val="22"/>
          <w:u w:val="single"/>
        </w:rPr>
      </w:pPr>
      <w:r w:rsidRPr="0038749C">
        <w:rPr>
          <w:b/>
          <w:bCs/>
          <w:color w:val="000000"/>
          <w:spacing w:val="-6"/>
          <w:sz w:val="22"/>
          <w:szCs w:val="22"/>
          <w:u w:val="single"/>
        </w:rPr>
        <w:t xml:space="preserve">IMU </w:t>
      </w:r>
      <w:r w:rsidRPr="0038749C">
        <w:rPr>
          <w:color w:val="000000"/>
          <w:spacing w:val="-6"/>
          <w:sz w:val="22"/>
          <w:szCs w:val="22"/>
          <w:u w:val="single"/>
        </w:rPr>
        <w:t>- Aree Fabbricabili (Comune)</w:t>
      </w:r>
    </w:p>
    <w:p w:rsidR="00BF2AA3" w:rsidRPr="0038749C" w:rsidRDefault="004228CF">
      <w:pPr>
        <w:shd w:val="clear" w:color="auto" w:fill="FFFFFF"/>
        <w:spacing w:before="14"/>
        <w:ind w:left="7"/>
        <w:rPr>
          <w:sz w:val="22"/>
          <w:szCs w:val="22"/>
          <w:u w:val="single"/>
        </w:rPr>
      </w:pPr>
      <w:r w:rsidRPr="0038749C">
        <w:rPr>
          <w:b/>
          <w:bCs/>
          <w:color w:val="000000"/>
          <w:spacing w:val="-6"/>
          <w:sz w:val="22"/>
          <w:szCs w:val="22"/>
          <w:u w:val="single"/>
        </w:rPr>
        <w:t xml:space="preserve">IMU </w:t>
      </w:r>
      <w:r w:rsidRPr="0038749C">
        <w:rPr>
          <w:color w:val="000000"/>
          <w:spacing w:val="-6"/>
          <w:sz w:val="22"/>
          <w:szCs w:val="22"/>
          <w:u w:val="single"/>
        </w:rPr>
        <w:t>- Altri fabbricati (Comune)</w:t>
      </w:r>
    </w:p>
    <w:p w:rsidR="00BF2AA3" w:rsidRPr="0038749C" w:rsidRDefault="004228CF">
      <w:pPr>
        <w:shd w:val="clear" w:color="auto" w:fill="FFFFFF"/>
        <w:spacing w:before="14"/>
        <w:ind w:left="7"/>
        <w:rPr>
          <w:sz w:val="22"/>
          <w:szCs w:val="22"/>
          <w:u w:val="single"/>
        </w:rPr>
      </w:pPr>
      <w:r w:rsidRPr="0038749C">
        <w:rPr>
          <w:b/>
          <w:bCs/>
          <w:color w:val="000000"/>
          <w:spacing w:val="-6"/>
          <w:sz w:val="22"/>
          <w:szCs w:val="22"/>
          <w:u w:val="single"/>
        </w:rPr>
        <w:t xml:space="preserve">IMU </w:t>
      </w:r>
      <w:r w:rsidRPr="0038749C">
        <w:rPr>
          <w:color w:val="000000"/>
          <w:spacing w:val="-6"/>
          <w:sz w:val="22"/>
          <w:szCs w:val="22"/>
          <w:u w:val="single"/>
        </w:rPr>
        <w:t>- Fabbricati classificati nel gruppo catastale D (Stato)</w:t>
      </w:r>
    </w:p>
    <w:p w:rsidR="00BF2AA3" w:rsidRPr="0038749C" w:rsidRDefault="004228CF">
      <w:pPr>
        <w:shd w:val="clear" w:color="auto" w:fill="FFFFFF"/>
        <w:spacing w:before="14"/>
        <w:ind w:left="4"/>
        <w:rPr>
          <w:sz w:val="22"/>
          <w:szCs w:val="22"/>
          <w:u w:val="single"/>
        </w:rPr>
      </w:pPr>
      <w:r w:rsidRPr="0038749C">
        <w:rPr>
          <w:b/>
          <w:bCs/>
          <w:color w:val="000000"/>
          <w:spacing w:val="-6"/>
          <w:sz w:val="22"/>
          <w:szCs w:val="22"/>
          <w:u w:val="single"/>
        </w:rPr>
        <w:t xml:space="preserve">IMU </w:t>
      </w:r>
      <w:r w:rsidRPr="0038749C">
        <w:rPr>
          <w:color w:val="000000"/>
          <w:spacing w:val="-6"/>
          <w:sz w:val="22"/>
          <w:szCs w:val="22"/>
          <w:u w:val="single"/>
        </w:rPr>
        <w:t>- Fabbricati classificati nel gruppo catastale D (Incremento Comune)</w:t>
      </w:r>
    </w:p>
    <w:p w:rsidR="00BF2AA3" w:rsidRPr="0038749C" w:rsidRDefault="004228CF">
      <w:pPr>
        <w:shd w:val="clear" w:color="auto" w:fill="FFFFFF"/>
        <w:spacing w:before="18"/>
        <w:rPr>
          <w:sz w:val="22"/>
          <w:szCs w:val="22"/>
          <w:u w:val="single"/>
        </w:rPr>
      </w:pPr>
      <w:r w:rsidRPr="0038749C">
        <w:rPr>
          <w:b/>
          <w:bCs/>
          <w:color w:val="000000"/>
          <w:spacing w:val="-4"/>
          <w:sz w:val="22"/>
          <w:szCs w:val="22"/>
          <w:u w:val="single"/>
        </w:rPr>
        <w:t xml:space="preserve">TASI- </w:t>
      </w:r>
      <w:r w:rsidRPr="0038749C">
        <w:rPr>
          <w:color w:val="000000"/>
          <w:spacing w:val="-4"/>
          <w:sz w:val="22"/>
          <w:szCs w:val="22"/>
          <w:u w:val="single"/>
        </w:rPr>
        <w:t>Abitazione principale e relative pertinenze</w:t>
      </w:r>
    </w:p>
    <w:p w:rsidR="00BF2AA3" w:rsidRPr="0038749C" w:rsidRDefault="004228CF">
      <w:pPr>
        <w:shd w:val="clear" w:color="auto" w:fill="FFFFFF"/>
        <w:spacing w:before="11"/>
        <w:rPr>
          <w:sz w:val="22"/>
          <w:szCs w:val="22"/>
          <w:u w:val="single"/>
        </w:rPr>
      </w:pPr>
      <w:r w:rsidRPr="0038749C">
        <w:rPr>
          <w:b/>
          <w:bCs/>
          <w:color w:val="000000"/>
          <w:spacing w:val="-4"/>
          <w:sz w:val="22"/>
          <w:szCs w:val="22"/>
          <w:u w:val="single"/>
        </w:rPr>
        <w:t xml:space="preserve">TASI </w:t>
      </w:r>
      <w:r w:rsidRPr="0038749C">
        <w:rPr>
          <w:color w:val="000000"/>
          <w:spacing w:val="-4"/>
          <w:sz w:val="22"/>
          <w:szCs w:val="22"/>
          <w:u w:val="single"/>
        </w:rPr>
        <w:t>- Fabbricati rurali ad uso strumentale</w:t>
      </w:r>
    </w:p>
    <w:p w:rsidR="00BF2AA3" w:rsidRPr="0038749C" w:rsidRDefault="004228CF">
      <w:pPr>
        <w:shd w:val="clear" w:color="auto" w:fill="FFFFFF"/>
        <w:spacing w:before="22"/>
        <w:rPr>
          <w:sz w:val="22"/>
          <w:szCs w:val="22"/>
          <w:u w:val="single"/>
        </w:rPr>
      </w:pPr>
      <w:r w:rsidRPr="0038749C">
        <w:rPr>
          <w:b/>
          <w:bCs/>
          <w:color w:val="000000"/>
          <w:spacing w:val="-5"/>
          <w:sz w:val="22"/>
          <w:szCs w:val="22"/>
          <w:u w:val="single"/>
        </w:rPr>
        <w:t xml:space="preserve">TASI </w:t>
      </w:r>
      <w:r w:rsidRPr="0038749C">
        <w:rPr>
          <w:color w:val="000000"/>
          <w:spacing w:val="-5"/>
          <w:sz w:val="22"/>
          <w:szCs w:val="22"/>
          <w:u w:val="single"/>
        </w:rPr>
        <w:t>- Aree Fabbricabili</w:t>
      </w:r>
    </w:p>
    <w:p w:rsidR="00BF2AA3" w:rsidRPr="0038749C" w:rsidRDefault="004228CF">
      <w:pPr>
        <w:shd w:val="clear" w:color="auto" w:fill="FFFFFF"/>
        <w:spacing w:before="11"/>
        <w:ind w:left="4"/>
        <w:rPr>
          <w:sz w:val="22"/>
          <w:szCs w:val="22"/>
          <w:u w:val="single"/>
        </w:rPr>
      </w:pPr>
      <w:r w:rsidRPr="0038749C">
        <w:rPr>
          <w:b/>
          <w:bCs/>
          <w:color w:val="000000"/>
          <w:spacing w:val="-5"/>
          <w:sz w:val="22"/>
          <w:szCs w:val="22"/>
          <w:u w:val="single"/>
        </w:rPr>
        <w:t xml:space="preserve">TASI </w:t>
      </w:r>
      <w:r w:rsidRPr="0038749C">
        <w:rPr>
          <w:color w:val="000000"/>
          <w:spacing w:val="-5"/>
          <w:sz w:val="22"/>
          <w:szCs w:val="22"/>
          <w:u w:val="single"/>
        </w:rPr>
        <w:t>- Altri fabbricati</w:t>
      </w:r>
    </w:p>
    <w:p w:rsidR="00BF2AA3" w:rsidRPr="0038749C" w:rsidRDefault="00BF2AA3">
      <w:pPr>
        <w:shd w:val="clear" w:color="auto" w:fill="FFFFFF"/>
        <w:spacing w:before="11"/>
        <w:ind w:left="4"/>
        <w:rPr>
          <w:sz w:val="22"/>
          <w:szCs w:val="22"/>
        </w:rPr>
        <w:sectPr w:rsidR="00BF2AA3" w:rsidRPr="0038749C">
          <w:type w:val="continuous"/>
          <w:pgSz w:w="11909" w:h="16834"/>
          <w:pgMar w:top="360" w:right="3049" w:bottom="360" w:left="1808" w:header="720" w:footer="720" w:gutter="0"/>
          <w:cols w:num="2" w:sep="1" w:space="720" w:equalWidth="0">
            <w:col w:w="720" w:space="97"/>
            <w:col w:w="6235"/>
          </w:cols>
          <w:noEndnote/>
        </w:sectPr>
      </w:pPr>
    </w:p>
    <w:p w:rsidR="00BF2AA3" w:rsidRPr="0038749C" w:rsidRDefault="004228CF" w:rsidP="0038749C">
      <w:pPr>
        <w:shd w:val="clear" w:color="auto" w:fill="FFFFFF"/>
        <w:spacing w:before="220" w:line="245" w:lineRule="exact"/>
        <w:ind w:left="389" w:right="18"/>
        <w:jc w:val="both"/>
        <w:rPr>
          <w:rFonts w:ascii="Calibri" w:hAnsi="Calibri"/>
          <w:sz w:val="22"/>
          <w:szCs w:val="22"/>
        </w:rPr>
      </w:pPr>
      <w:r w:rsidRPr="0038749C">
        <w:rPr>
          <w:rFonts w:ascii="Calibri" w:hAnsi="Calibri"/>
          <w:color w:val="000000"/>
          <w:spacing w:val="-4"/>
          <w:sz w:val="22"/>
          <w:szCs w:val="22"/>
        </w:rPr>
        <w:lastRenderedPageBreak/>
        <w:t xml:space="preserve">Nella ipotesi in cui l'unità immobiliare sia utilizzata da un soggetto diverso dal titolare del diritto reale </w:t>
      </w:r>
      <w:r w:rsidRPr="0038749C">
        <w:rPr>
          <w:rFonts w:ascii="Calibri" w:hAnsi="Calibri"/>
          <w:color w:val="000000"/>
          <w:sz w:val="22"/>
          <w:szCs w:val="22"/>
        </w:rPr>
        <w:t xml:space="preserve">sulla stessa, quest'ultimo e l'occupante sono responsabili di autonome obbligazioni tributarie. </w:t>
      </w:r>
      <w:r w:rsidRPr="0038749C">
        <w:rPr>
          <w:rFonts w:ascii="Calibri" w:hAnsi="Calibri"/>
          <w:color w:val="000000"/>
          <w:spacing w:val="-3"/>
          <w:sz w:val="22"/>
          <w:szCs w:val="22"/>
        </w:rPr>
        <w:t xml:space="preserve">L'occupante versa la TASI nella misura del </w:t>
      </w:r>
      <w:r w:rsidR="007519FB" w:rsidRPr="0038749C">
        <w:rPr>
          <w:rFonts w:ascii="Calibri" w:hAnsi="Calibri"/>
          <w:color w:val="000000"/>
          <w:spacing w:val="-3"/>
          <w:sz w:val="22"/>
          <w:szCs w:val="22"/>
        </w:rPr>
        <w:t>1</w:t>
      </w:r>
      <w:r w:rsidRPr="0038749C">
        <w:rPr>
          <w:rFonts w:ascii="Calibri" w:hAnsi="Calibri"/>
          <w:color w:val="000000"/>
          <w:spacing w:val="-3"/>
          <w:sz w:val="22"/>
          <w:szCs w:val="22"/>
        </w:rPr>
        <w:t xml:space="preserve">0%, la restante parte è corrisposta dal titolare del diritto reale; detta ultima previsione trova applicazione anche con riferimento agli occupanti degli alloggi di </w:t>
      </w:r>
      <w:r w:rsidRPr="0038749C">
        <w:rPr>
          <w:rFonts w:ascii="Calibri" w:hAnsi="Calibri"/>
          <w:color w:val="000000"/>
          <w:sz w:val="22"/>
          <w:szCs w:val="22"/>
        </w:rPr>
        <w:t>M</w:t>
      </w:r>
      <w:r w:rsidR="007519FB" w:rsidRPr="0038749C">
        <w:rPr>
          <w:rFonts w:ascii="Calibri" w:hAnsi="Calibri"/>
          <w:color w:val="000000"/>
          <w:sz w:val="22"/>
          <w:szCs w:val="22"/>
        </w:rPr>
        <w:t>.</w:t>
      </w:r>
      <w:r w:rsidRPr="0038749C">
        <w:rPr>
          <w:rFonts w:ascii="Calibri" w:hAnsi="Calibri"/>
          <w:color w:val="000000"/>
          <w:sz w:val="22"/>
          <w:szCs w:val="22"/>
        </w:rPr>
        <w:t>A</w:t>
      </w:r>
      <w:r w:rsidR="007519FB" w:rsidRPr="0038749C">
        <w:rPr>
          <w:rFonts w:ascii="Calibri" w:hAnsi="Calibri"/>
          <w:color w:val="000000"/>
          <w:sz w:val="22"/>
          <w:szCs w:val="22"/>
        </w:rPr>
        <w:t>.</w:t>
      </w:r>
      <w:r w:rsidRPr="0038749C">
        <w:rPr>
          <w:rFonts w:ascii="Calibri" w:hAnsi="Calibri"/>
          <w:color w:val="000000"/>
          <w:sz w:val="22"/>
          <w:szCs w:val="22"/>
        </w:rPr>
        <w:t>P.</w:t>
      </w:r>
      <w:r w:rsidR="0038749C">
        <w:rPr>
          <w:rFonts w:ascii="Calibri" w:hAnsi="Calibri"/>
          <w:sz w:val="22"/>
          <w:szCs w:val="22"/>
        </w:rPr>
        <w:t xml:space="preserve"> </w:t>
      </w:r>
      <w:r w:rsidRPr="0038749C">
        <w:rPr>
          <w:rFonts w:ascii="Calibri" w:hAnsi="Calibri"/>
          <w:color w:val="000000"/>
          <w:sz w:val="22"/>
          <w:szCs w:val="22"/>
        </w:rPr>
        <w:t xml:space="preserve">Non è necessario eseguire alcun versamento se il tributo complessivamente dovuto da un singolo soggetto passivo per l'annualità di riferimento risulta pari o inferiore all'importo di </w:t>
      </w:r>
      <w:r w:rsidR="0038749C" w:rsidRPr="0038749C">
        <w:rPr>
          <w:rFonts w:ascii="Calibri" w:hAnsi="Calibri"/>
          <w:color w:val="000000"/>
          <w:sz w:val="22"/>
          <w:szCs w:val="22"/>
        </w:rPr>
        <w:t>2</w:t>
      </w:r>
      <w:r w:rsidRPr="0038749C">
        <w:rPr>
          <w:rFonts w:ascii="Calibri" w:hAnsi="Calibri"/>
          <w:color w:val="000000"/>
          <w:sz w:val="22"/>
          <w:szCs w:val="22"/>
        </w:rPr>
        <w:t xml:space="preserve"> euro.</w:t>
      </w:r>
      <w:r w:rsidR="0038749C">
        <w:rPr>
          <w:rFonts w:ascii="Calibri" w:hAnsi="Calibri"/>
          <w:sz w:val="22"/>
          <w:szCs w:val="22"/>
        </w:rPr>
        <w:t xml:space="preserve"> </w:t>
      </w:r>
      <w:r w:rsidRPr="0038749C">
        <w:rPr>
          <w:rFonts w:ascii="Calibri" w:hAnsi="Calibri"/>
          <w:color w:val="000000"/>
          <w:sz w:val="22"/>
          <w:szCs w:val="22"/>
        </w:rPr>
        <w:t xml:space="preserve">Per ulteriori informazioni è possibile contattare il Servizio </w:t>
      </w:r>
      <w:r w:rsidR="007A7F86" w:rsidRPr="0038749C">
        <w:rPr>
          <w:rFonts w:ascii="Calibri" w:hAnsi="Calibri"/>
          <w:color w:val="000000"/>
          <w:sz w:val="22"/>
          <w:szCs w:val="22"/>
        </w:rPr>
        <w:t>Tributi, sito in Via Benedetta s.n.c., al numero telefonico 0862/89203</w:t>
      </w:r>
      <w:r w:rsidRPr="0038749C">
        <w:rPr>
          <w:rFonts w:ascii="Calibri" w:hAnsi="Calibri"/>
          <w:color w:val="000000"/>
          <w:sz w:val="22"/>
          <w:szCs w:val="22"/>
        </w:rPr>
        <w:t xml:space="preserve">, ovvero all'indirizzo mail istituzionale </w:t>
      </w:r>
      <w:r w:rsidR="007A7F86" w:rsidRPr="0038749C">
        <w:rPr>
          <w:rFonts w:ascii="Calibri" w:hAnsi="Calibri"/>
          <w:color w:val="000000"/>
          <w:sz w:val="22"/>
          <w:szCs w:val="22"/>
          <w:u w:val="single"/>
        </w:rPr>
        <w:t>anagrafe@comunesantostefanodisessanio.aq.it</w:t>
      </w:r>
    </w:p>
    <w:p w:rsidR="00BF2AA3" w:rsidRPr="0038749C" w:rsidRDefault="00BF2AA3">
      <w:pPr>
        <w:shd w:val="clear" w:color="auto" w:fill="FFFFFF"/>
        <w:spacing w:before="209" w:after="230" w:line="266" w:lineRule="exact"/>
        <w:ind w:left="389"/>
        <w:jc w:val="both"/>
        <w:rPr>
          <w:sz w:val="22"/>
          <w:szCs w:val="22"/>
        </w:rPr>
        <w:sectPr w:rsidR="00BF2AA3" w:rsidRPr="0038749C">
          <w:type w:val="continuous"/>
          <w:pgSz w:w="11909" w:h="16834"/>
          <w:pgMar w:top="360" w:right="1415" w:bottom="360" w:left="1332" w:header="720" w:footer="720" w:gutter="0"/>
          <w:cols w:space="60"/>
          <w:noEndnote/>
        </w:sectPr>
      </w:pPr>
    </w:p>
    <w:p w:rsidR="0038749C" w:rsidRDefault="0038749C" w:rsidP="007A7F86">
      <w:pPr>
        <w:shd w:val="clear" w:color="auto" w:fill="FFFFFF"/>
        <w:ind w:left="133"/>
        <w:rPr>
          <w:color w:val="000000"/>
          <w:sz w:val="18"/>
          <w:szCs w:val="18"/>
        </w:rPr>
      </w:pPr>
    </w:p>
    <w:p w:rsidR="007A7F86" w:rsidRPr="00443BB0" w:rsidRDefault="00910017" w:rsidP="0063407F">
      <w:pPr>
        <w:shd w:val="clear" w:color="auto" w:fill="FFFFFF"/>
        <w:ind w:left="133"/>
        <w:rPr>
          <w:color w:val="000000"/>
        </w:rPr>
      </w:pPr>
      <w:r w:rsidRPr="0038749C">
        <w:rPr>
          <w:color w:val="000000"/>
          <w:sz w:val="18"/>
          <w:szCs w:val="18"/>
        </w:rPr>
        <w:t>Santo Stefano di Sessanio,</w:t>
      </w:r>
      <w:r w:rsidR="007519FB" w:rsidRPr="0038749C">
        <w:rPr>
          <w:color w:val="000000"/>
          <w:sz w:val="18"/>
          <w:szCs w:val="18"/>
        </w:rPr>
        <w:t xml:space="preserve"> </w:t>
      </w:r>
      <w:r w:rsidR="0063407F">
        <w:rPr>
          <w:color w:val="000000"/>
          <w:sz w:val="18"/>
          <w:szCs w:val="18"/>
        </w:rPr>
        <w:t>04.12.2015</w:t>
      </w:r>
      <w:r w:rsidR="007A7F86" w:rsidRPr="0038749C">
        <w:rPr>
          <w:color w:val="000000"/>
          <w:sz w:val="18"/>
          <w:szCs w:val="18"/>
        </w:rPr>
        <w:tab/>
      </w:r>
      <w:r w:rsidR="007A7F86" w:rsidRPr="0038749C">
        <w:rPr>
          <w:color w:val="000000"/>
          <w:sz w:val="18"/>
          <w:szCs w:val="18"/>
        </w:rPr>
        <w:tab/>
      </w:r>
      <w:r w:rsidR="007A7F86" w:rsidRPr="0038749C">
        <w:rPr>
          <w:color w:val="000000"/>
          <w:sz w:val="18"/>
          <w:szCs w:val="18"/>
        </w:rPr>
        <w:tab/>
      </w:r>
      <w:r w:rsidR="007A7F86" w:rsidRPr="00443BB0">
        <w:rPr>
          <w:color w:val="000000"/>
        </w:rPr>
        <w:t>Il Responsabile del Servizio Tributi</w:t>
      </w:r>
    </w:p>
    <w:p w:rsidR="004228CF" w:rsidRPr="00443BB0" w:rsidRDefault="007A7F86" w:rsidP="0038749C">
      <w:pPr>
        <w:shd w:val="clear" w:color="auto" w:fill="FFFFFF"/>
        <w:ind w:left="133"/>
        <w:rPr>
          <w:color w:val="000000"/>
        </w:rPr>
      </w:pPr>
      <w:r w:rsidRPr="00443BB0">
        <w:rPr>
          <w:color w:val="000000"/>
        </w:rPr>
        <w:tab/>
      </w:r>
      <w:r w:rsidRPr="00443BB0">
        <w:rPr>
          <w:color w:val="000000"/>
        </w:rPr>
        <w:tab/>
      </w:r>
      <w:r w:rsidRPr="00443BB0">
        <w:rPr>
          <w:color w:val="000000"/>
        </w:rPr>
        <w:tab/>
      </w:r>
      <w:r w:rsidRPr="00443BB0">
        <w:rPr>
          <w:color w:val="000000"/>
        </w:rPr>
        <w:tab/>
      </w:r>
      <w:r w:rsidRPr="00443BB0">
        <w:rPr>
          <w:color w:val="000000"/>
        </w:rPr>
        <w:tab/>
      </w:r>
      <w:r w:rsidRPr="00443BB0">
        <w:rPr>
          <w:color w:val="000000"/>
        </w:rPr>
        <w:tab/>
      </w:r>
      <w:r w:rsidRPr="00443BB0">
        <w:rPr>
          <w:color w:val="000000"/>
        </w:rPr>
        <w:tab/>
        <w:t xml:space="preserve">   Dott.ssa Maria Cesidia Sericola</w:t>
      </w:r>
    </w:p>
    <w:sectPr w:rsidR="004228CF" w:rsidRPr="00443BB0" w:rsidSect="00BF2AA3">
      <w:type w:val="continuous"/>
      <w:pgSz w:w="11909" w:h="16834"/>
      <w:pgMar w:top="360" w:right="1415" w:bottom="360" w:left="1332"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8526E34"/>
    <w:lvl w:ilvl="0">
      <w:numFmt w:val="bullet"/>
      <w:lvlText w:val="*"/>
      <w:lvlJc w:val="left"/>
    </w:lvl>
  </w:abstractNum>
  <w:num w:numId="1">
    <w:abstractNumId w:val="0"/>
    <w:lvlOverride w:ilvl="0">
      <w:lvl w:ilvl="0">
        <w:start w:val="65535"/>
        <w:numFmt w:val="bullet"/>
        <w:lvlText w:val="-"/>
        <w:legacy w:legacy="1" w:legacySpace="0" w:legacyIndent="277"/>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66"/>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A1A"/>
    <w:rsid w:val="0003753F"/>
    <w:rsid w:val="00092269"/>
    <w:rsid w:val="00142A1A"/>
    <w:rsid w:val="00284ADA"/>
    <w:rsid w:val="0038749C"/>
    <w:rsid w:val="004228CF"/>
    <w:rsid w:val="00443BB0"/>
    <w:rsid w:val="0060438D"/>
    <w:rsid w:val="0063407F"/>
    <w:rsid w:val="006D6117"/>
    <w:rsid w:val="007519FB"/>
    <w:rsid w:val="007A7F86"/>
    <w:rsid w:val="007F35BA"/>
    <w:rsid w:val="008607B7"/>
    <w:rsid w:val="00910017"/>
    <w:rsid w:val="00A2172E"/>
    <w:rsid w:val="00A240E9"/>
    <w:rsid w:val="00A63874"/>
    <w:rsid w:val="00BE50EB"/>
    <w:rsid w:val="00BF2AA3"/>
    <w:rsid w:val="00C12683"/>
    <w:rsid w:val="00DA6E36"/>
    <w:rsid w:val="00E225EF"/>
    <w:rsid w:val="00EA3BD7"/>
    <w:rsid w:val="00F46E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F2AA3"/>
    <w:pPr>
      <w:widowControl w:val="0"/>
      <w:autoSpaceDE w:val="0"/>
      <w:autoSpaceDN w:val="0"/>
      <w:adjustRightInd w:val="0"/>
      <w:spacing w:after="0" w:line="240" w:lineRule="auto"/>
    </w:pPr>
    <w:rPr>
      <w:rFonts w:hAnsi="Times New Roman"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46E1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E1F"/>
    <w:rPr>
      <w:rFonts w:ascii="Tahoma" w:hAnsi="Tahoma" w:cs="Tahoma"/>
      <w:sz w:val="16"/>
      <w:szCs w:val="16"/>
    </w:rPr>
  </w:style>
  <w:style w:type="table" w:styleId="Grigliatabella">
    <w:name w:val="Table Grid"/>
    <w:basedOn w:val="Tabellanormale"/>
    <w:uiPriority w:val="59"/>
    <w:rsid w:val="00092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225EF"/>
    <w:pPr>
      <w:ind w:left="720"/>
      <w:contextualSpacing/>
    </w:pPr>
  </w:style>
  <w:style w:type="paragraph" w:customStyle="1" w:styleId="Default">
    <w:name w:val="Default"/>
    <w:rsid w:val="0063407F"/>
    <w:pPr>
      <w:autoSpaceDE w:val="0"/>
      <w:autoSpaceDN w:val="0"/>
      <w:adjustRightInd w:val="0"/>
      <w:spacing w:after="0" w:line="240" w:lineRule="auto"/>
    </w:pPr>
    <w:rPr>
      <w:rFonts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F2AA3"/>
    <w:pPr>
      <w:widowControl w:val="0"/>
      <w:autoSpaceDE w:val="0"/>
      <w:autoSpaceDN w:val="0"/>
      <w:adjustRightInd w:val="0"/>
      <w:spacing w:after="0" w:line="240" w:lineRule="auto"/>
    </w:pPr>
    <w:rPr>
      <w:rFonts w:hAnsi="Times New Roman"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46E1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E1F"/>
    <w:rPr>
      <w:rFonts w:ascii="Tahoma" w:hAnsi="Tahoma" w:cs="Tahoma"/>
      <w:sz w:val="16"/>
      <w:szCs w:val="16"/>
    </w:rPr>
  </w:style>
  <w:style w:type="table" w:styleId="Grigliatabella">
    <w:name w:val="Table Grid"/>
    <w:basedOn w:val="Tabellanormale"/>
    <w:uiPriority w:val="59"/>
    <w:rsid w:val="00092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225EF"/>
    <w:pPr>
      <w:ind w:left="720"/>
      <w:contextualSpacing/>
    </w:pPr>
  </w:style>
  <w:style w:type="paragraph" w:customStyle="1" w:styleId="Default">
    <w:name w:val="Default"/>
    <w:rsid w:val="0063407F"/>
    <w:pPr>
      <w:autoSpaceDE w:val="0"/>
      <w:autoSpaceDN w:val="0"/>
      <w:adjustRightInd w:val="0"/>
      <w:spacing w:after="0" w:line="240" w:lineRule="auto"/>
    </w:pPr>
    <w:rPr>
      <w:rFonts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1028</Words>
  <Characters>5861</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Vigili</dc:creator>
  <cp:lastModifiedBy>Anagrafe</cp:lastModifiedBy>
  <cp:revision>2</cp:revision>
  <cp:lastPrinted>2015-06-03T12:15:00Z</cp:lastPrinted>
  <dcterms:created xsi:type="dcterms:W3CDTF">2015-12-04T11:14:00Z</dcterms:created>
  <dcterms:modified xsi:type="dcterms:W3CDTF">2015-12-04T11:14:00Z</dcterms:modified>
</cp:coreProperties>
</file>